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6E7C" w14:textId="77777777" w:rsidR="00CF1133" w:rsidRDefault="00DD2FC6" w:rsidP="00CF1133">
      <w:pPr>
        <w:ind w:left="-710" w:firstLine="695"/>
        <w:rPr>
          <w:b/>
          <w:bCs/>
        </w:rPr>
      </w:pPr>
    </w:p>
    <w:p w14:paraId="208B5BD2" w14:textId="77777777" w:rsidR="00CF1133" w:rsidRDefault="00B931F9" w:rsidP="00CF1133">
      <w:pPr>
        <w:ind w:left="-710" w:firstLine="695"/>
        <w:rPr>
          <w:b/>
          <w:bCs/>
        </w:rPr>
      </w:pPr>
      <w:r>
        <w:rPr>
          <w:b/>
          <w:bCs/>
        </w:rPr>
        <w:t>LEP – Sub Committee</w:t>
      </w:r>
    </w:p>
    <w:p w14:paraId="1D4E59CA" w14:textId="77777777" w:rsidR="00BE3AA8" w:rsidRDefault="00DD2FC6" w:rsidP="00CF1133">
      <w:pPr>
        <w:ind w:left="-710" w:firstLine="695"/>
        <w:rPr>
          <w:b/>
          <w:bCs/>
        </w:rPr>
      </w:pPr>
    </w:p>
    <w:p w14:paraId="61D74D55" w14:textId="77777777" w:rsidR="00BE3AA8" w:rsidRDefault="00B931F9"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14:paraId="1BBEA380" w14:textId="77777777" w:rsidR="00CF1133" w:rsidRPr="00BC4466" w:rsidRDefault="00DD2FC6" w:rsidP="00CF1133">
      <w:pPr>
        <w:spacing w:after="0" w:line="256" w:lineRule="auto"/>
        <w:ind w:left="0" w:firstLine="0"/>
        <w:rPr>
          <w:b/>
          <w:bCs/>
        </w:rPr>
      </w:pPr>
    </w:p>
    <w:p w14:paraId="7B93355F" w14:textId="77777777" w:rsidR="00BC4466" w:rsidRPr="00BC4466" w:rsidRDefault="00B931F9" w:rsidP="00CF1133">
      <w:pPr>
        <w:spacing w:after="0" w:line="256" w:lineRule="auto"/>
        <w:ind w:left="0" w:firstLine="0"/>
        <w:rPr>
          <w:b/>
          <w:bCs/>
        </w:rPr>
      </w:pPr>
      <w:r w:rsidRPr="00BC4466">
        <w:rPr>
          <w:b/>
        </w:rPr>
        <w:t xml:space="preserve">Private and Confidential: </w:t>
      </w:r>
      <w:r>
        <w:rPr>
          <w:b/>
        </w:rPr>
        <w:t>No</w:t>
      </w:r>
    </w:p>
    <w:p w14:paraId="59736F7A" w14:textId="77777777" w:rsidR="00BC4466" w:rsidRDefault="00DD2FC6" w:rsidP="00CF1133">
      <w:pPr>
        <w:spacing w:after="0" w:line="256" w:lineRule="auto"/>
        <w:ind w:left="0" w:firstLine="0"/>
      </w:pPr>
    </w:p>
    <w:p w14:paraId="3C887FCD" w14:textId="77777777" w:rsidR="00A3358A" w:rsidRDefault="00B931F9" w:rsidP="0032092C">
      <w:pPr>
        <w:ind w:left="0" w:firstLine="0"/>
      </w:pPr>
      <w:r w:rsidRPr="0032092C">
        <w:rPr>
          <w:b/>
        </w:rPr>
        <w:t>Date:</w:t>
      </w:r>
      <w:r>
        <w:t xml:space="preserve"> </w:t>
      </w:r>
      <w:r w:rsidR="00DD2FC6">
        <w:fldChar w:fldCharType="begin"/>
      </w:r>
      <w:r w:rsidR="00DD2FC6">
        <w:instrText xml:space="preserve"> DOCPROPERTY  MeetingDate  \* MERGEFORMAT </w:instrText>
      </w:r>
      <w:r w:rsidR="00DD2FC6">
        <w:fldChar w:fldCharType="separate"/>
      </w:r>
      <w:r>
        <w:t>Thursday, 30 January 2020</w:t>
      </w:r>
      <w:r w:rsidR="00DD2FC6">
        <w:fldChar w:fldCharType="end"/>
      </w:r>
    </w:p>
    <w:p w14:paraId="5B9BA533" w14:textId="77777777" w:rsidR="00A3358A" w:rsidRDefault="00DD2FC6" w:rsidP="00A3358A"/>
    <w:p w14:paraId="7D1D8B89" w14:textId="77777777" w:rsidR="00A3358A" w:rsidRDefault="00B931F9"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South East Blackburn Funding Application</w:t>
      </w:r>
      <w:r>
        <w:rPr>
          <w:b/>
        </w:rPr>
        <w:fldChar w:fldCharType="end"/>
      </w:r>
    </w:p>
    <w:p w14:paraId="717F0A31" w14:textId="77777777" w:rsidR="00A3358A" w:rsidRDefault="00B931F9" w:rsidP="00A3358A">
      <w:pPr>
        <w:ind w:left="0" w:firstLine="0"/>
      </w:pPr>
      <w:r>
        <w:t>Appendix 'A' refers</w:t>
      </w:r>
    </w:p>
    <w:p w14:paraId="31B6EAB8" w14:textId="77777777" w:rsidR="00D7480F" w:rsidRDefault="00DD2FC6" w:rsidP="00CF1133">
      <w:pPr>
        <w:spacing w:after="0" w:line="256" w:lineRule="auto"/>
        <w:ind w:left="0" w:firstLine="0"/>
      </w:pPr>
    </w:p>
    <w:p w14:paraId="5157647E" w14:textId="77777777" w:rsidR="00F41096" w:rsidRPr="00F41096" w:rsidRDefault="00B931F9"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14:paraId="20B712D6" w14:textId="77777777" w:rsidR="00CF1133" w:rsidRPr="002B3CC5" w:rsidRDefault="00B931F9"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14:paraId="2A5A6626" w14:textId="77777777" w:rsidR="002B3CC5" w:rsidRDefault="00DD2FC6"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D7511" w14:paraId="248768D5" w14:textId="77777777" w:rsidTr="008B5354">
        <w:tc>
          <w:tcPr>
            <w:tcW w:w="9180" w:type="dxa"/>
          </w:tcPr>
          <w:p w14:paraId="690D8171" w14:textId="77777777" w:rsidR="002B3CC5" w:rsidRDefault="00DD2FC6" w:rsidP="00DC005F">
            <w:pPr>
              <w:pStyle w:val="Header"/>
              <w:jc w:val="both"/>
            </w:pPr>
          </w:p>
          <w:p w14:paraId="462BAA63" w14:textId="77777777" w:rsidR="002B3CC5" w:rsidRPr="002B3CC5" w:rsidRDefault="00B931F9" w:rsidP="00DC005F">
            <w:pPr>
              <w:pStyle w:val="Heading6"/>
              <w:jc w:val="both"/>
              <w:rPr>
                <w:rFonts w:ascii="Arial" w:hAnsi="Arial"/>
                <w:b/>
                <w:color w:val="auto"/>
              </w:rPr>
            </w:pPr>
            <w:r w:rsidRPr="002B3CC5">
              <w:rPr>
                <w:rFonts w:ascii="Arial" w:hAnsi="Arial"/>
                <w:b/>
                <w:color w:val="auto"/>
              </w:rPr>
              <w:t>Executive Summary</w:t>
            </w:r>
          </w:p>
          <w:p w14:paraId="143465BE" w14:textId="77777777" w:rsidR="002B3CC5" w:rsidRPr="002B3CC5" w:rsidRDefault="00DD2FC6" w:rsidP="00DC005F">
            <w:pPr>
              <w:jc w:val="both"/>
              <w:rPr>
                <w:color w:val="auto"/>
              </w:rPr>
            </w:pPr>
          </w:p>
          <w:p w14:paraId="392FF254" w14:textId="77777777" w:rsidR="002B3CC5" w:rsidRPr="002B3CC5" w:rsidRDefault="00B931F9" w:rsidP="00DC005F">
            <w:pPr>
              <w:ind w:left="0" w:firstLine="0"/>
              <w:jc w:val="both"/>
              <w:rPr>
                <w:color w:val="auto"/>
              </w:rPr>
            </w:pPr>
            <w:r w:rsidRPr="00F6469E">
              <w:rPr>
                <w:rFonts w:eastAsiaTheme="minorHAnsi"/>
                <w:color w:val="auto"/>
                <w:lang w:eastAsia="en-US"/>
              </w:rPr>
              <w:t>The South East Blackburn scheme is one of three infrastructure packages that collectively form the 'Pennine Gateways' project, which aims to support the delivery of new homes, new businesses and jobs in three specific growth areas in Blackburn, whilst at the same time alleviating congestion on key routes.</w:t>
            </w:r>
            <w:r w:rsidRPr="002B3CC5">
              <w:rPr>
                <w:color w:val="auto"/>
              </w:rPr>
              <w:t xml:space="preserve"> </w:t>
            </w:r>
            <w:r>
              <w:rPr>
                <w:color w:val="auto"/>
              </w:rPr>
              <w:t xml:space="preserve"> </w:t>
            </w:r>
            <w:r w:rsidRPr="00F6469E">
              <w:rPr>
                <w:rFonts w:eastAsiaTheme="minorHAnsi"/>
                <w:color w:val="auto"/>
                <w:lang w:eastAsia="en-US"/>
              </w:rPr>
              <w:t xml:space="preserve">It comprises various improvements in the A6077 </w:t>
            </w:r>
            <w:proofErr w:type="spellStart"/>
            <w:r w:rsidRPr="00F6469E">
              <w:rPr>
                <w:rFonts w:eastAsiaTheme="minorHAnsi"/>
                <w:color w:val="auto"/>
                <w:lang w:eastAsia="en-US"/>
              </w:rPr>
              <w:t>Haslingden</w:t>
            </w:r>
            <w:proofErr w:type="spellEnd"/>
            <w:r w:rsidRPr="00F6469E">
              <w:rPr>
                <w:rFonts w:eastAsiaTheme="minorHAnsi"/>
                <w:color w:val="auto"/>
                <w:lang w:eastAsia="en-US"/>
              </w:rPr>
              <w:t xml:space="preserve"> Road and B6231 Blackamoor Road corridors to support delivery of over 600 houses and 90,000 square metres of </w:t>
            </w:r>
            <w:r>
              <w:rPr>
                <w:rFonts w:eastAsiaTheme="minorHAnsi"/>
                <w:color w:val="auto"/>
                <w:lang w:eastAsia="en-US"/>
              </w:rPr>
              <w:t>commercial floor</w:t>
            </w:r>
            <w:r w:rsidRPr="00F6469E">
              <w:rPr>
                <w:rFonts w:eastAsiaTheme="minorHAnsi"/>
                <w:color w:val="auto"/>
                <w:lang w:eastAsia="en-US"/>
              </w:rPr>
              <w:t xml:space="preserve"> space</w:t>
            </w:r>
            <w:r>
              <w:rPr>
                <w:rFonts w:eastAsiaTheme="minorHAnsi"/>
                <w:color w:val="auto"/>
                <w:lang w:eastAsia="en-US"/>
              </w:rPr>
              <w:t>.</w:t>
            </w:r>
          </w:p>
          <w:p w14:paraId="7F706537" w14:textId="77777777" w:rsidR="002B3CC5" w:rsidRDefault="00DD2FC6" w:rsidP="00DC005F">
            <w:pPr>
              <w:jc w:val="both"/>
              <w:rPr>
                <w:color w:val="auto"/>
              </w:rPr>
            </w:pPr>
          </w:p>
          <w:p w14:paraId="15E7F3FB" w14:textId="77777777" w:rsidR="00DC005F" w:rsidRDefault="00B931F9" w:rsidP="005760F7">
            <w:pPr>
              <w:ind w:left="0" w:firstLine="0"/>
              <w:jc w:val="both"/>
              <w:rPr>
                <w:rFonts w:eastAsiaTheme="minorHAnsi"/>
                <w:color w:val="auto"/>
                <w:lang w:eastAsia="en-US"/>
              </w:rPr>
            </w:pPr>
            <w:r w:rsidRPr="00F6469E">
              <w:rPr>
                <w:rFonts w:eastAsiaTheme="minorHAnsi"/>
                <w:color w:val="auto"/>
                <w:lang w:eastAsia="en-US"/>
              </w:rPr>
              <w:t xml:space="preserve">In accordance with the Lancashire Enterprise Partnership's Assurance Framework, Blackburn with </w:t>
            </w:r>
            <w:proofErr w:type="spellStart"/>
            <w:r w:rsidRPr="00F6469E">
              <w:rPr>
                <w:rFonts w:eastAsiaTheme="minorHAnsi"/>
                <w:color w:val="auto"/>
                <w:lang w:eastAsia="en-US"/>
              </w:rPr>
              <w:t>Darwen</w:t>
            </w:r>
            <w:proofErr w:type="spellEnd"/>
            <w:r w:rsidRPr="00F6469E">
              <w:rPr>
                <w:rFonts w:eastAsiaTheme="minorHAnsi"/>
                <w:color w:val="auto"/>
                <w:lang w:eastAsia="en-US"/>
              </w:rPr>
              <w:t xml:space="preserve"> Council has submitted a strategic outline business case for funding approval.  The consultants Jacobs have undertaken an independent assessment of the strategic outline business case on behalf of the Lancashire Enterprise Partnership</w:t>
            </w:r>
            <w:r>
              <w:rPr>
                <w:rFonts w:eastAsiaTheme="minorHAnsi"/>
                <w:color w:val="auto"/>
                <w:lang w:eastAsia="en-US"/>
              </w:rPr>
              <w:t>.</w:t>
            </w:r>
            <w:r w:rsidRPr="00F6469E">
              <w:rPr>
                <w:rFonts w:eastAsiaTheme="minorHAnsi"/>
                <w:color w:val="auto"/>
                <w:lang w:eastAsia="en-US"/>
              </w:rPr>
              <w:t xml:space="preserve">  </w:t>
            </w:r>
            <w:r>
              <w:rPr>
                <w:rFonts w:eastAsiaTheme="minorHAnsi"/>
                <w:color w:val="auto"/>
                <w:lang w:eastAsia="en-US"/>
              </w:rPr>
              <w:t xml:space="preserve">Whilst </w:t>
            </w:r>
            <w:r w:rsidRPr="005D5735">
              <w:rPr>
                <w:rFonts w:eastAsiaTheme="minorHAnsi"/>
                <w:color w:val="auto"/>
                <w:lang w:eastAsia="en-US"/>
              </w:rPr>
              <w:t>Jacobs are satisfied the project has been developed to the expected standard in most areas</w:t>
            </w:r>
            <w:r>
              <w:rPr>
                <w:rFonts w:eastAsiaTheme="minorHAnsi"/>
                <w:color w:val="auto"/>
                <w:lang w:eastAsia="en-US"/>
              </w:rPr>
              <w:t>, they have some outstanding concerns with some of the evidence presented in the business case, in particular, that congestion levels have been underestimated and future traffic may be in excess of the forecast predictions.  However, Jacobs are content these concerns are not of sufficient magnitude to influence their decision on whether to recommend granting of funding approval, as they are unlikely to have a material impact on the project's value for money.</w:t>
            </w:r>
          </w:p>
          <w:p w14:paraId="7E87A78A" w14:textId="77777777" w:rsidR="005760F7" w:rsidRPr="002B3CC5" w:rsidRDefault="00DD2FC6" w:rsidP="005760F7">
            <w:pPr>
              <w:ind w:left="0" w:firstLine="0"/>
              <w:jc w:val="both"/>
              <w:rPr>
                <w:color w:val="auto"/>
              </w:rPr>
            </w:pPr>
          </w:p>
          <w:p w14:paraId="353364A6" w14:textId="77777777" w:rsidR="002B3CC5" w:rsidRPr="002B3CC5" w:rsidRDefault="00B931F9" w:rsidP="005760F7">
            <w:pPr>
              <w:pStyle w:val="Heading5"/>
              <w:jc w:val="both"/>
              <w:rPr>
                <w:rFonts w:ascii="Arial" w:hAnsi="Arial"/>
                <w:b/>
                <w:color w:val="auto"/>
              </w:rPr>
            </w:pPr>
            <w:r w:rsidRPr="002B3CC5">
              <w:rPr>
                <w:rFonts w:ascii="Arial" w:hAnsi="Arial"/>
                <w:b/>
                <w:color w:val="auto"/>
              </w:rPr>
              <w:t>Recommendation</w:t>
            </w:r>
          </w:p>
          <w:p w14:paraId="0FA9168A" w14:textId="77777777" w:rsidR="002B3CC5" w:rsidRDefault="00DD2FC6" w:rsidP="005760F7">
            <w:pPr>
              <w:jc w:val="both"/>
              <w:rPr>
                <w:color w:val="auto"/>
              </w:rPr>
            </w:pPr>
          </w:p>
          <w:p w14:paraId="42750A30" w14:textId="58B1E8C6" w:rsidR="0083747F" w:rsidRDefault="00B931F9" w:rsidP="00DD2FC6">
            <w:pPr>
              <w:ind w:left="0" w:firstLine="0"/>
              <w:jc w:val="both"/>
              <w:rPr>
                <w:color w:val="auto"/>
              </w:rPr>
            </w:pPr>
            <w:r>
              <w:rPr>
                <w:color w:val="auto"/>
              </w:rPr>
              <w:t xml:space="preserve">The </w:t>
            </w:r>
            <w:r w:rsidR="002E73D5">
              <w:rPr>
                <w:color w:val="auto"/>
              </w:rPr>
              <w:t>C</w:t>
            </w:r>
            <w:r>
              <w:rPr>
                <w:color w:val="auto"/>
              </w:rPr>
              <w:t>ommittee is asked to</w:t>
            </w:r>
            <w:r w:rsidR="00DD2FC6">
              <w:rPr>
                <w:color w:val="auto"/>
              </w:rPr>
              <w:t xml:space="preserve"> c</w:t>
            </w:r>
            <w:r w:rsidRPr="0083747F">
              <w:rPr>
                <w:color w:val="auto"/>
              </w:rPr>
              <w:t xml:space="preserve">onsider the attached </w:t>
            </w:r>
            <w:r w:rsidR="00DD2FC6">
              <w:rPr>
                <w:color w:val="auto"/>
              </w:rPr>
              <w:t xml:space="preserve">strategic outline business case </w:t>
            </w:r>
            <w:r w:rsidRPr="0083747F">
              <w:rPr>
                <w:color w:val="auto"/>
              </w:rPr>
              <w:t>report prepared by Jacobs and recommend the Lancashire Enterprise Partnership grant the scheme a maximum £9.05 million Growth Deal funding at its next meeting</w:t>
            </w:r>
            <w:r w:rsidR="0083747F">
              <w:rPr>
                <w:color w:val="auto"/>
              </w:rPr>
              <w:t>.</w:t>
            </w:r>
          </w:p>
          <w:p w14:paraId="3D208B29" w14:textId="1F14A0C4" w:rsidR="002B3CC5" w:rsidRDefault="00DD2FC6" w:rsidP="0083747F">
            <w:pPr>
              <w:pStyle w:val="ListParagraph"/>
              <w:ind w:left="0" w:firstLine="0"/>
              <w:jc w:val="both"/>
            </w:pPr>
          </w:p>
        </w:tc>
      </w:tr>
    </w:tbl>
    <w:p w14:paraId="79CD6B0C" w14:textId="1D11CDB0" w:rsidR="002B3CC5" w:rsidRDefault="00DD2FC6" w:rsidP="002B3CC5">
      <w:pPr>
        <w:pStyle w:val="Header"/>
      </w:pPr>
    </w:p>
    <w:p w14:paraId="4F0CA0A5" w14:textId="327BAD43" w:rsidR="00DD2FC6" w:rsidRDefault="00DD2FC6" w:rsidP="002B3CC5">
      <w:pPr>
        <w:pStyle w:val="Header"/>
      </w:pPr>
    </w:p>
    <w:p w14:paraId="4DB2BC94" w14:textId="77777777" w:rsidR="00DD2FC6" w:rsidRDefault="00DD2FC6" w:rsidP="002B3CC5">
      <w:pPr>
        <w:pStyle w:val="Header"/>
      </w:pPr>
      <w:bookmarkStart w:id="0" w:name="_GoBack"/>
      <w:bookmarkEnd w:id="0"/>
    </w:p>
    <w:p w14:paraId="5890A9FD" w14:textId="77777777" w:rsidR="00A3358A" w:rsidRPr="00F6469E" w:rsidRDefault="00B931F9" w:rsidP="00A3358A">
      <w:pPr>
        <w:rPr>
          <w:b/>
        </w:rPr>
      </w:pPr>
      <w:r w:rsidRPr="00F6469E">
        <w:rPr>
          <w:b/>
        </w:rPr>
        <w:lastRenderedPageBreak/>
        <w:t>Background and Advice</w:t>
      </w:r>
    </w:p>
    <w:p w14:paraId="40D627DA" w14:textId="77777777" w:rsidR="00A3358A" w:rsidRPr="00F6469E" w:rsidRDefault="00DD2FC6" w:rsidP="00A3358A"/>
    <w:p w14:paraId="72C3A0F9" w14:textId="77777777" w:rsidR="00A3358A" w:rsidRPr="00F6469E" w:rsidRDefault="00B931F9" w:rsidP="009B0173">
      <w:pPr>
        <w:autoSpaceDE w:val="0"/>
        <w:autoSpaceDN w:val="0"/>
        <w:adjustRightInd w:val="0"/>
        <w:spacing w:after="0" w:line="240" w:lineRule="auto"/>
        <w:ind w:left="0" w:firstLine="0"/>
        <w:jc w:val="both"/>
        <w:rPr>
          <w:rFonts w:eastAsiaTheme="minorHAnsi"/>
          <w:color w:val="auto"/>
          <w:lang w:eastAsia="en-US"/>
        </w:rPr>
      </w:pPr>
      <w:r w:rsidRPr="00F6469E">
        <w:rPr>
          <w:rFonts w:eastAsiaTheme="minorHAnsi"/>
          <w:color w:val="auto"/>
          <w:lang w:eastAsia="en-US"/>
        </w:rPr>
        <w:t xml:space="preserve">The South East Blackburn scheme is one of three infrastructure packages that collectively form the 'Pennine Gateways' project, which aims to support the delivery of new homes, new businesses and jobs in three specific growth areas in Blackburn, whilst at the same time alleviating congestion on key routes.  It comprises various improvements in the A6077 </w:t>
      </w:r>
      <w:proofErr w:type="spellStart"/>
      <w:r w:rsidRPr="00F6469E">
        <w:rPr>
          <w:rFonts w:eastAsiaTheme="minorHAnsi"/>
          <w:color w:val="auto"/>
          <w:lang w:eastAsia="en-US"/>
        </w:rPr>
        <w:t>Haslingden</w:t>
      </w:r>
      <w:proofErr w:type="spellEnd"/>
      <w:r w:rsidRPr="00F6469E">
        <w:rPr>
          <w:rFonts w:eastAsiaTheme="minorHAnsi"/>
          <w:color w:val="auto"/>
          <w:lang w:eastAsia="en-US"/>
        </w:rPr>
        <w:t xml:space="preserve"> Road and B6231 Blackamoor Road corridors to support delivery of over 600 houses and 90,000 square metres of employment space:</w:t>
      </w:r>
    </w:p>
    <w:p w14:paraId="560354EF" w14:textId="77777777" w:rsidR="008F1612" w:rsidRPr="00F6469E" w:rsidRDefault="00DD2FC6" w:rsidP="009B0173">
      <w:pPr>
        <w:autoSpaceDE w:val="0"/>
        <w:autoSpaceDN w:val="0"/>
        <w:adjustRightInd w:val="0"/>
        <w:spacing w:after="0" w:line="240" w:lineRule="auto"/>
        <w:ind w:left="0" w:firstLine="0"/>
        <w:jc w:val="both"/>
        <w:rPr>
          <w:rFonts w:eastAsiaTheme="minorHAnsi"/>
          <w:color w:val="auto"/>
          <w:lang w:eastAsia="en-US"/>
        </w:rPr>
      </w:pPr>
    </w:p>
    <w:p w14:paraId="58DE44FE" w14:textId="77777777" w:rsidR="008F1612" w:rsidRPr="00F6469E" w:rsidRDefault="00B931F9" w:rsidP="009B0173">
      <w:pPr>
        <w:pStyle w:val="ListParagraph"/>
        <w:numPr>
          <w:ilvl w:val="0"/>
          <w:numId w:val="4"/>
        </w:numPr>
        <w:autoSpaceDE w:val="0"/>
        <w:autoSpaceDN w:val="0"/>
        <w:adjustRightInd w:val="0"/>
        <w:spacing w:after="0" w:line="240" w:lineRule="auto"/>
        <w:ind w:left="567" w:hanging="567"/>
        <w:jc w:val="both"/>
        <w:rPr>
          <w:rFonts w:eastAsiaTheme="minorHAnsi"/>
          <w:color w:val="auto"/>
          <w:lang w:eastAsia="en-US"/>
        </w:rPr>
      </w:pPr>
      <w:r w:rsidRPr="00F6469E">
        <w:rPr>
          <w:rFonts w:eastAsiaTheme="minorHAnsi"/>
          <w:color w:val="auto"/>
          <w:lang w:eastAsia="en-US"/>
        </w:rPr>
        <w:t xml:space="preserve">Widening of the A6077 </w:t>
      </w:r>
      <w:proofErr w:type="spellStart"/>
      <w:r w:rsidRPr="00F6469E">
        <w:rPr>
          <w:rFonts w:eastAsiaTheme="minorHAnsi"/>
          <w:color w:val="auto"/>
          <w:lang w:eastAsia="en-US"/>
        </w:rPr>
        <w:t>Haslingden</w:t>
      </w:r>
      <w:proofErr w:type="spellEnd"/>
      <w:r w:rsidRPr="00F6469E">
        <w:rPr>
          <w:rFonts w:eastAsiaTheme="minorHAnsi"/>
          <w:color w:val="auto"/>
          <w:lang w:eastAsia="en-US"/>
        </w:rPr>
        <w:t xml:space="preserve"> Road between Lions Drive and </w:t>
      </w:r>
      <w:proofErr w:type="spellStart"/>
      <w:r w:rsidRPr="00F6469E">
        <w:rPr>
          <w:rFonts w:eastAsiaTheme="minorHAnsi"/>
          <w:color w:val="auto"/>
          <w:lang w:eastAsia="en-US"/>
        </w:rPr>
        <w:t>Shadsworth</w:t>
      </w:r>
      <w:proofErr w:type="spellEnd"/>
      <w:r w:rsidRPr="00F6469E">
        <w:rPr>
          <w:rFonts w:eastAsiaTheme="minorHAnsi"/>
          <w:color w:val="auto"/>
          <w:lang w:eastAsia="en-US"/>
        </w:rPr>
        <w:t xml:space="preserve"> Road to four lanes and associated junction improvements;</w:t>
      </w:r>
    </w:p>
    <w:p w14:paraId="62099AE4" w14:textId="77777777" w:rsidR="00710C2F" w:rsidRPr="00F6469E" w:rsidRDefault="00B931F9" w:rsidP="009B0173">
      <w:pPr>
        <w:pStyle w:val="ListParagraph"/>
        <w:numPr>
          <w:ilvl w:val="0"/>
          <w:numId w:val="4"/>
        </w:numPr>
        <w:autoSpaceDE w:val="0"/>
        <w:autoSpaceDN w:val="0"/>
        <w:adjustRightInd w:val="0"/>
        <w:spacing w:after="0" w:line="240" w:lineRule="auto"/>
        <w:ind w:left="567" w:hanging="567"/>
        <w:jc w:val="both"/>
        <w:rPr>
          <w:rFonts w:eastAsiaTheme="minorHAnsi"/>
          <w:color w:val="auto"/>
          <w:lang w:eastAsia="en-US"/>
        </w:rPr>
      </w:pPr>
      <w:r w:rsidRPr="00F6469E">
        <w:rPr>
          <w:rFonts w:eastAsiaTheme="minorHAnsi"/>
          <w:color w:val="auto"/>
          <w:lang w:eastAsia="en-US"/>
        </w:rPr>
        <w:t>Construction of the Blackamoor Link Road including two new junctions at Roman Road and Blackamoor Road and associated alterations to the Roman Road junction with Blackamoor Road; and</w:t>
      </w:r>
    </w:p>
    <w:p w14:paraId="2587F5C5" w14:textId="77777777" w:rsidR="00710C2F" w:rsidRPr="00F6469E" w:rsidRDefault="00B931F9" w:rsidP="009B0173">
      <w:pPr>
        <w:pStyle w:val="ListParagraph"/>
        <w:numPr>
          <w:ilvl w:val="0"/>
          <w:numId w:val="4"/>
        </w:numPr>
        <w:autoSpaceDE w:val="0"/>
        <w:autoSpaceDN w:val="0"/>
        <w:adjustRightInd w:val="0"/>
        <w:spacing w:after="0" w:line="240" w:lineRule="auto"/>
        <w:ind w:left="567" w:hanging="567"/>
        <w:jc w:val="both"/>
        <w:rPr>
          <w:rFonts w:eastAsiaTheme="minorHAnsi"/>
          <w:color w:val="auto"/>
          <w:lang w:eastAsia="en-US"/>
        </w:rPr>
      </w:pPr>
      <w:r w:rsidRPr="00F6469E">
        <w:rPr>
          <w:rFonts w:eastAsiaTheme="minorHAnsi"/>
          <w:color w:val="auto"/>
          <w:lang w:eastAsia="en-US"/>
        </w:rPr>
        <w:t xml:space="preserve">Improvements to the A6077 </w:t>
      </w:r>
      <w:proofErr w:type="spellStart"/>
      <w:r w:rsidRPr="00F6469E">
        <w:rPr>
          <w:rFonts w:eastAsiaTheme="minorHAnsi"/>
          <w:color w:val="auto"/>
          <w:lang w:eastAsia="en-US"/>
        </w:rPr>
        <w:t>Haslingden</w:t>
      </w:r>
      <w:proofErr w:type="spellEnd"/>
      <w:r w:rsidRPr="00F6469E">
        <w:rPr>
          <w:rFonts w:eastAsiaTheme="minorHAnsi"/>
          <w:color w:val="auto"/>
          <w:lang w:eastAsia="en-US"/>
        </w:rPr>
        <w:t xml:space="preserve"> Road junction with Old Bank Lane, including a new access to the Royal Blackburn Hospital.</w:t>
      </w:r>
    </w:p>
    <w:p w14:paraId="6BEC5158" w14:textId="77777777" w:rsidR="00710C2F" w:rsidRPr="00F6469E" w:rsidRDefault="00DD2FC6" w:rsidP="009B0173">
      <w:pPr>
        <w:autoSpaceDE w:val="0"/>
        <w:autoSpaceDN w:val="0"/>
        <w:adjustRightInd w:val="0"/>
        <w:spacing w:after="0" w:line="240" w:lineRule="auto"/>
        <w:ind w:left="0" w:firstLine="0"/>
        <w:jc w:val="both"/>
      </w:pPr>
    </w:p>
    <w:p w14:paraId="63F98172" w14:textId="77777777" w:rsidR="0032092C" w:rsidRPr="00F6469E" w:rsidRDefault="00B931F9" w:rsidP="009B0173">
      <w:pPr>
        <w:ind w:left="0" w:firstLine="0"/>
        <w:jc w:val="both"/>
      </w:pPr>
      <w:r w:rsidRPr="00F6469E">
        <w:t xml:space="preserve">The scheme will enable the growth ambitions of Blackburn with </w:t>
      </w:r>
      <w:proofErr w:type="spellStart"/>
      <w:r w:rsidRPr="00F6469E">
        <w:t>Darwen</w:t>
      </w:r>
      <w:proofErr w:type="spellEnd"/>
      <w:r w:rsidRPr="00F6469E">
        <w:t xml:space="preserve"> Council to be realised without adversely affecting </w:t>
      </w:r>
      <w:r>
        <w:t xml:space="preserve">future </w:t>
      </w:r>
      <w:r w:rsidRPr="00F6469E">
        <w:t xml:space="preserve">levels of service on the local highway network.  In addition, improved facilities for pedestrians and cyclists using </w:t>
      </w:r>
      <w:proofErr w:type="spellStart"/>
      <w:r w:rsidRPr="00F6469E">
        <w:t>Haslingden</w:t>
      </w:r>
      <w:proofErr w:type="spellEnd"/>
      <w:r w:rsidRPr="00F6469E">
        <w:t xml:space="preserve"> Road will provide a safer environment and encourage participation in active travel.</w:t>
      </w:r>
    </w:p>
    <w:p w14:paraId="75E7E294" w14:textId="77777777" w:rsidR="008F1612" w:rsidRPr="00F6469E" w:rsidRDefault="00DD2FC6" w:rsidP="00A3358A">
      <w:pPr>
        <w:ind w:left="0" w:firstLine="0"/>
      </w:pPr>
    </w:p>
    <w:p w14:paraId="5BEC44BF" w14:textId="77777777" w:rsidR="00622C07" w:rsidRDefault="00B931F9" w:rsidP="0044238B">
      <w:pPr>
        <w:autoSpaceDE w:val="0"/>
        <w:autoSpaceDN w:val="0"/>
        <w:adjustRightInd w:val="0"/>
        <w:spacing w:after="0" w:line="240" w:lineRule="auto"/>
        <w:ind w:left="0" w:firstLine="0"/>
        <w:jc w:val="both"/>
        <w:rPr>
          <w:rFonts w:eastAsiaTheme="minorHAnsi"/>
          <w:color w:val="auto"/>
          <w:lang w:eastAsia="en-US"/>
        </w:rPr>
      </w:pPr>
      <w:r w:rsidRPr="005D5735">
        <w:rPr>
          <w:rFonts w:eastAsiaTheme="minorHAnsi"/>
          <w:color w:val="auto"/>
          <w:lang w:eastAsia="en-US"/>
        </w:rPr>
        <w:t xml:space="preserve">In accordance with the Lancashire Enterprise Partnership's Assurance Framework, Blackburn with </w:t>
      </w:r>
      <w:proofErr w:type="spellStart"/>
      <w:r w:rsidRPr="005D5735">
        <w:rPr>
          <w:rFonts w:eastAsiaTheme="minorHAnsi"/>
          <w:color w:val="auto"/>
          <w:lang w:eastAsia="en-US"/>
        </w:rPr>
        <w:t>Darwen</w:t>
      </w:r>
      <w:proofErr w:type="spellEnd"/>
      <w:r w:rsidRPr="005D5735">
        <w:rPr>
          <w:rFonts w:eastAsiaTheme="minorHAnsi"/>
          <w:color w:val="auto"/>
          <w:lang w:eastAsia="en-US"/>
        </w:rPr>
        <w:t xml:space="preserve"> Council has submitted a strategic outline business case for funding approval.  The consultants Jacobs have undertaken an independent assessment of the strategic outline business case on behalf of the Lancashire Enterprise Partnership.</w:t>
      </w:r>
    </w:p>
    <w:p w14:paraId="12162C54" w14:textId="77777777" w:rsidR="00622C07" w:rsidRDefault="00DD2FC6" w:rsidP="0044238B">
      <w:pPr>
        <w:autoSpaceDE w:val="0"/>
        <w:autoSpaceDN w:val="0"/>
        <w:adjustRightInd w:val="0"/>
        <w:spacing w:after="0" w:line="240" w:lineRule="auto"/>
        <w:ind w:left="0" w:firstLine="0"/>
        <w:jc w:val="both"/>
        <w:rPr>
          <w:rFonts w:eastAsiaTheme="minorHAnsi"/>
          <w:color w:val="auto"/>
          <w:lang w:eastAsia="en-US"/>
        </w:rPr>
      </w:pPr>
    </w:p>
    <w:p w14:paraId="77AF5D4A" w14:textId="77777777" w:rsidR="009B0173" w:rsidRPr="00F6469E" w:rsidRDefault="00B931F9" w:rsidP="0044238B">
      <w:pPr>
        <w:autoSpaceDE w:val="0"/>
        <w:autoSpaceDN w:val="0"/>
        <w:adjustRightInd w:val="0"/>
        <w:spacing w:after="0" w:line="240" w:lineRule="auto"/>
        <w:ind w:left="0" w:firstLine="0"/>
        <w:jc w:val="both"/>
      </w:pPr>
      <w:r>
        <w:rPr>
          <w:rFonts w:eastAsiaTheme="minorHAnsi"/>
          <w:color w:val="auto"/>
          <w:lang w:eastAsia="en-US"/>
        </w:rPr>
        <w:t xml:space="preserve">Whilst </w:t>
      </w:r>
      <w:r w:rsidRPr="005D5735">
        <w:rPr>
          <w:rFonts w:eastAsiaTheme="minorHAnsi"/>
          <w:color w:val="auto"/>
          <w:lang w:eastAsia="en-US"/>
        </w:rPr>
        <w:t>Jacobs are satisfied the project has been developed to the expected standard in most areas</w:t>
      </w:r>
      <w:r>
        <w:rPr>
          <w:rFonts w:eastAsiaTheme="minorHAnsi"/>
          <w:color w:val="auto"/>
          <w:lang w:eastAsia="en-US"/>
        </w:rPr>
        <w:t xml:space="preserve">, they have some outstanding concerns with some of the evidence presented in the business case, in particular, with regard to traffic modelling.  Congestion levels may have been underestimated and future traffic may be in excess of the forecast predictions.  However, Jacobs are content these concerns are not of sufficient magnitude to influence their decision on whether to recommend granting of funding approval, as they are unlikely to have a material impact on the project's value for money.  Accordingly, Jacobs advise that funding approval be granted to enable construction to commence in April 2020, and have not recommended that any conditions be attached.  </w:t>
      </w:r>
      <w:r w:rsidRPr="005D5735">
        <w:rPr>
          <w:rFonts w:eastAsiaTheme="minorHAnsi"/>
          <w:color w:val="auto"/>
          <w:lang w:eastAsia="en-US"/>
        </w:rPr>
        <w:t>Jacobs' report is attached as Appendix 'A'.</w:t>
      </w:r>
    </w:p>
    <w:p w14:paraId="1D9AEABA" w14:textId="77777777" w:rsidR="005D5735" w:rsidRPr="00F6469E" w:rsidRDefault="00DD2FC6" w:rsidP="00A3358A">
      <w:pPr>
        <w:ind w:left="0" w:firstLine="0"/>
      </w:pPr>
    </w:p>
    <w:p w14:paraId="5B2BAB60" w14:textId="77777777" w:rsidR="008F1612" w:rsidRPr="00F6469E" w:rsidRDefault="00B931F9" w:rsidP="0044238B">
      <w:pPr>
        <w:autoSpaceDE w:val="0"/>
        <w:autoSpaceDN w:val="0"/>
        <w:adjustRightInd w:val="0"/>
        <w:spacing w:after="0" w:line="240" w:lineRule="auto"/>
        <w:ind w:left="0" w:firstLine="0"/>
        <w:jc w:val="both"/>
      </w:pPr>
      <w:r w:rsidRPr="00F6469E">
        <w:rPr>
          <w:rFonts w:eastAsiaTheme="minorHAnsi"/>
          <w:color w:val="auto"/>
          <w:lang w:eastAsia="en-US"/>
        </w:rPr>
        <w:t xml:space="preserve">The total risk adjusted cost of the scheme is £11.56 million, funded through a maximum £9.05 million contribution from the Local Growth Fund through the Lancashire Growth Deal and a £2.51 million contribution from Blackburn with </w:t>
      </w:r>
      <w:proofErr w:type="spellStart"/>
      <w:r w:rsidRPr="00F6469E">
        <w:rPr>
          <w:rFonts w:eastAsiaTheme="minorHAnsi"/>
          <w:color w:val="auto"/>
          <w:lang w:eastAsia="en-US"/>
        </w:rPr>
        <w:t>Darwen</w:t>
      </w:r>
      <w:proofErr w:type="spellEnd"/>
      <w:r w:rsidRPr="00F6469E">
        <w:rPr>
          <w:rFonts w:eastAsiaTheme="minorHAnsi"/>
          <w:color w:val="auto"/>
          <w:lang w:eastAsia="en-US"/>
        </w:rPr>
        <w:t xml:space="preserve"> Council.  The local contribution amounts to 22% of total scheme cost.  The council's S151 letter confirms the council's commitment to fund the local contribution together with any overspend.  The council expects the works to </w:t>
      </w:r>
      <w:r>
        <w:rPr>
          <w:rFonts w:eastAsiaTheme="minorHAnsi"/>
          <w:color w:val="auto"/>
          <w:lang w:eastAsia="en-US"/>
        </w:rPr>
        <w:t xml:space="preserve">be complete by </w:t>
      </w:r>
      <w:r w:rsidRPr="00F6469E">
        <w:rPr>
          <w:rFonts w:eastAsiaTheme="minorHAnsi"/>
          <w:color w:val="auto"/>
          <w:lang w:eastAsia="en-US"/>
        </w:rPr>
        <w:t>April 2021.</w:t>
      </w:r>
    </w:p>
    <w:p w14:paraId="355A587E" w14:textId="77777777" w:rsidR="008F1612" w:rsidRPr="00F6469E" w:rsidRDefault="00DD2FC6" w:rsidP="00A3358A">
      <w:pPr>
        <w:ind w:left="0" w:firstLine="0"/>
      </w:pPr>
    </w:p>
    <w:p w14:paraId="6601B2B6" w14:textId="77777777" w:rsidR="00754A4C" w:rsidRPr="00F6469E" w:rsidRDefault="00B931F9" w:rsidP="0044238B">
      <w:pPr>
        <w:autoSpaceDE w:val="0"/>
        <w:autoSpaceDN w:val="0"/>
        <w:adjustRightInd w:val="0"/>
        <w:spacing w:after="0" w:line="240" w:lineRule="auto"/>
        <w:ind w:left="0" w:firstLine="0"/>
        <w:jc w:val="both"/>
        <w:rPr>
          <w:rFonts w:eastAsiaTheme="minorHAnsi"/>
          <w:color w:val="auto"/>
          <w:lang w:eastAsia="en-US"/>
        </w:rPr>
      </w:pPr>
      <w:r w:rsidRPr="00F6469E">
        <w:rPr>
          <w:rFonts w:eastAsiaTheme="minorHAnsi"/>
          <w:color w:val="auto"/>
          <w:lang w:eastAsia="en-US"/>
        </w:rPr>
        <w:t xml:space="preserve">The scheme is predicted to deliver high value for money with a benefit to cost ratio of 3.3.  </w:t>
      </w:r>
      <w:r>
        <w:rPr>
          <w:rFonts w:eastAsiaTheme="minorHAnsi"/>
          <w:color w:val="auto"/>
          <w:lang w:eastAsia="en-US"/>
        </w:rPr>
        <w:t xml:space="preserve">Following the concerns raised by </w:t>
      </w:r>
      <w:r w:rsidRPr="00F6469E">
        <w:rPr>
          <w:rFonts w:eastAsiaTheme="minorHAnsi"/>
          <w:color w:val="auto"/>
          <w:lang w:eastAsia="en-US"/>
        </w:rPr>
        <w:t>Jacobs with regard to the traffic modelling work</w:t>
      </w:r>
      <w:r>
        <w:rPr>
          <w:rFonts w:eastAsiaTheme="minorHAnsi"/>
          <w:color w:val="auto"/>
          <w:lang w:eastAsia="en-US"/>
        </w:rPr>
        <w:t>,</w:t>
      </w:r>
      <w:r w:rsidRPr="00F6469E">
        <w:rPr>
          <w:rFonts w:eastAsiaTheme="minorHAnsi"/>
          <w:color w:val="auto"/>
          <w:lang w:eastAsia="en-US"/>
        </w:rPr>
        <w:t xml:space="preserve"> </w:t>
      </w:r>
      <w:r w:rsidRPr="00F6469E">
        <w:rPr>
          <w:rFonts w:eastAsiaTheme="minorHAnsi"/>
          <w:color w:val="auto"/>
          <w:lang w:eastAsia="en-US"/>
        </w:rPr>
        <w:lastRenderedPageBreak/>
        <w:t xml:space="preserve">the applicant provided a zero growth sensitivity test and 'Level 3' analysis, which includes external transport impacts of the developments and land value uplift.  The effect would be a reduction in the benefit to cost ratio to between 1.4 and 1.8, representing low/medium value for money respectively.  Nevertheless, Jacobs </w:t>
      </w:r>
      <w:r>
        <w:rPr>
          <w:rFonts w:eastAsiaTheme="minorHAnsi"/>
          <w:color w:val="auto"/>
          <w:lang w:eastAsia="en-US"/>
        </w:rPr>
        <w:t xml:space="preserve">have concluded </w:t>
      </w:r>
      <w:r w:rsidRPr="00F6469E">
        <w:rPr>
          <w:rFonts w:eastAsiaTheme="minorHAnsi"/>
          <w:color w:val="auto"/>
          <w:lang w:eastAsia="en-US"/>
        </w:rPr>
        <w:t>that, given the significance of dependency in meeting the applicant's local plan aspirations, they have confidence in a high value for money outcome.</w:t>
      </w:r>
    </w:p>
    <w:p w14:paraId="6A31E142" w14:textId="77777777" w:rsidR="00754A4C" w:rsidRDefault="00DD2FC6" w:rsidP="0044238B">
      <w:pPr>
        <w:autoSpaceDE w:val="0"/>
        <w:autoSpaceDN w:val="0"/>
        <w:adjustRightInd w:val="0"/>
        <w:spacing w:after="0" w:line="240" w:lineRule="auto"/>
        <w:ind w:left="0" w:firstLine="0"/>
        <w:jc w:val="both"/>
        <w:rPr>
          <w:rFonts w:eastAsiaTheme="minorHAnsi"/>
          <w:color w:val="auto"/>
          <w:lang w:eastAsia="en-US"/>
        </w:rPr>
      </w:pPr>
    </w:p>
    <w:p w14:paraId="169B8575" w14:textId="77777777" w:rsidR="000361C7" w:rsidRDefault="00B931F9" w:rsidP="000361C7">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At its meeting held on 30</w:t>
      </w:r>
      <w:r w:rsidRPr="00E20CF6">
        <w:rPr>
          <w:rFonts w:eastAsiaTheme="minorHAnsi"/>
          <w:color w:val="auto"/>
          <w:vertAlign w:val="superscript"/>
          <w:lang w:eastAsia="en-US"/>
        </w:rPr>
        <w:t>th</w:t>
      </w:r>
      <w:r>
        <w:rPr>
          <w:rFonts w:eastAsiaTheme="minorHAnsi"/>
          <w:color w:val="auto"/>
          <w:lang w:eastAsia="en-US"/>
        </w:rPr>
        <w:t xml:space="preserve"> September 2019, the Lancashire Enterprise Partnership Board allocated additional funding to the South East Blackburn scheme on the basis it would provide additional economic outputs beyond the original submission.  Table 1 below sets out the updated totals.</w:t>
      </w:r>
    </w:p>
    <w:p w14:paraId="675BA33B" w14:textId="77777777" w:rsidR="000361C7" w:rsidRDefault="00DD2FC6" w:rsidP="0044238B">
      <w:pPr>
        <w:autoSpaceDE w:val="0"/>
        <w:autoSpaceDN w:val="0"/>
        <w:adjustRightInd w:val="0"/>
        <w:spacing w:after="0" w:line="240" w:lineRule="auto"/>
        <w:ind w:left="0" w:firstLine="0"/>
        <w:jc w:val="both"/>
        <w:rPr>
          <w:rFonts w:eastAsiaTheme="minorHAnsi"/>
          <w:color w:val="auto"/>
          <w:lang w:eastAsia="en-US"/>
        </w:rPr>
      </w:pPr>
    </w:p>
    <w:p w14:paraId="41920472" w14:textId="77777777" w:rsidR="000361C7" w:rsidRPr="004A0A0D" w:rsidRDefault="00B931F9" w:rsidP="000361C7">
      <w:pPr>
        <w:autoSpaceDE w:val="0"/>
        <w:autoSpaceDN w:val="0"/>
        <w:adjustRightInd w:val="0"/>
        <w:spacing w:after="0" w:line="240" w:lineRule="auto"/>
        <w:ind w:left="0" w:firstLine="0"/>
        <w:jc w:val="both"/>
        <w:rPr>
          <w:rFonts w:eastAsiaTheme="minorHAnsi"/>
          <w:b/>
          <w:color w:val="auto"/>
          <w:lang w:eastAsia="en-US"/>
        </w:rPr>
      </w:pPr>
      <w:r w:rsidRPr="004A0A0D">
        <w:rPr>
          <w:rFonts w:eastAsiaTheme="minorHAnsi"/>
          <w:b/>
          <w:color w:val="auto"/>
          <w:lang w:eastAsia="en-US"/>
        </w:rPr>
        <w:t xml:space="preserve">Table 1: </w:t>
      </w:r>
      <w:r>
        <w:rPr>
          <w:rFonts w:eastAsiaTheme="minorHAnsi"/>
          <w:b/>
          <w:color w:val="auto"/>
          <w:lang w:eastAsia="en-US"/>
        </w:rPr>
        <w:t xml:space="preserve">Updated </w:t>
      </w:r>
      <w:r w:rsidRPr="004A0A0D">
        <w:rPr>
          <w:rFonts w:eastAsiaTheme="minorHAnsi"/>
          <w:b/>
          <w:color w:val="auto"/>
          <w:lang w:eastAsia="en-US"/>
        </w:rPr>
        <w:t>Economic Outputs to 2025</w:t>
      </w:r>
    </w:p>
    <w:p w14:paraId="19C1667A" w14:textId="77777777" w:rsidR="000361C7" w:rsidRDefault="00DD2FC6" w:rsidP="000361C7">
      <w:pPr>
        <w:autoSpaceDE w:val="0"/>
        <w:autoSpaceDN w:val="0"/>
        <w:adjustRightInd w:val="0"/>
        <w:spacing w:after="0" w:line="240" w:lineRule="auto"/>
        <w:ind w:left="0" w:firstLine="0"/>
        <w:jc w:val="both"/>
        <w:rPr>
          <w:rFonts w:eastAsiaTheme="minorHAnsi"/>
          <w:color w:val="auto"/>
          <w:lang w:eastAsia="en-US"/>
        </w:rPr>
      </w:pPr>
    </w:p>
    <w:tbl>
      <w:tblPr>
        <w:tblStyle w:val="TableGrid"/>
        <w:tblW w:w="0" w:type="auto"/>
        <w:tblLook w:val="04A0" w:firstRow="1" w:lastRow="0" w:firstColumn="1" w:lastColumn="0" w:noHBand="0" w:noVBand="1"/>
      </w:tblPr>
      <w:tblGrid>
        <w:gridCol w:w="2254"/>
        <w:gridCol w:w="2254"/>
        <w:gridCol w:w="2254"/>
        <w:gridCol w:w="2254"/>
      </w:tblGrid>
      <w:tr w:rsidR="003D7511" w14:paraId="5AA3D128" w14:textId="77777777" w:rsidTr="004E790E">
        <w:tc>
          <w:tcPr>
            <w:tcW w:w="2254" w:type="dxa"/>
            <w:shd w:val="clear" w:color="auto" w:fill="BFBFBF" w:themeFill="background1" w:themeFillShade="BF"/>
            <w:vAlign w:val="center"/>
          </w:tcPr>
          <w:p w14:paraId="2B8520BA"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4A0A0D">
              <w:rPr>
                <w:rFonts w:eastAsiaTheme="minorHAnsi"/>
                <w:color w:val="auto"/>
                <w:sz w:val="20"/>
                <w:szCs w:val="20"/>
                <w:lang w:eastAsia="en-US"/>
              </w:rPr>
              <w:t xml:space="preserve">Economic </w:t>
            </w:r>
            <w:r>
              <w:rPr>
                <w:rFonts w:eastAsiaTheme="minorHAnsi"/>
                <w:color w:val="auto"/>
                <w:sz w:val="20"/>
                <w:szCs w:val="20"/>
                <w:lang w:eastAsia="en-US"/>
              </w:rPr>
              <w:t>O</w:t>
            </w:r>
            <w:r w:rsidRPr="004A0A0D">
              <w:rPr>
                <w:rFonts w:eastAsiaTheme="minorHAnsi"/>
                <w:color w:val="auto"/>
                <w:sz w:val="20"/>
                <w:szCs w:val="20"/>
                <w:lang w:eastAsia="en-US"/>
              </w:rPr>
              <w:t>utput</w:t>
            </w:r>
          </w:p>
        </w:tc>
        <w:tc>
          <w:tcPr>
            <w:tcW w:w="2254" w:type="dxa"/>
            <w:shd w:val="clear" w:color="auto" w:fill="BFBFBF" w:themeFill="background1" w:themeFillShade="BF"/>
            <w:vAlign w:val="center"/>
          </w:tcPr>
          <w:p w14:paraId="2D454135"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Original Pennine Gateways Submission</w:t>
            </w:r>
          </w:p>
        </w:tc>
        <w:tc>
          <w:tcPr>
            <w:tcW w:w="2254" w:type="dxa"/>
            <w:shd w:val="clear" w:color="auto" w:fill="BFBFBF" w:themeFill="background1" w:themeFillShade="BF"/>
            <w:vAlign w:val="center"/>
          </w:tcPr>
          <w:p w14:paraId="54E36C96" w14:textId="77777777" w:rsidR="000361C7" w:rsidRPr="000B5A5F" w:rsidRDefault="00B931F9" w:rsidP="004E790E">
            <w:pPr>
              <w:autoSpaceDE w:val="0"/>
              <w:autoSpaceDN w:val="0"/>
              <w:adjustRightInd w:val="0"/>
              <w:spacing w:after="0" w:line="240" w:lineRule="auto"/>
              <w:ind w:left="0" w:firstLine="0"/>
              <w:jc w:val="center"/>
              <w:rPr>
                <w:rFonts w:eastAsiaTheme="minorHAnsi"/>
                <w:b/>
                <w:color w:val="auto"/>
                <w:sz w:val="20"/>
                <w:szCs w:val="20"/>
                <w:lang w:eastAsia="en-US"/>
              </w:rPr>
            </w:pPr>
            <w:r w:rsidRPr="000B5A5F">
              <w:rPr>
                <w:rFonts w:eastAsiaTheme="minorHAnsi"/>
                <w:b/>
                <w:color w:val="auto"/>
                <w:sz w:val="20"/>
                <w:szCs w:val="20"/>
                <w:lang w:eastAsia="en-US"/>
              </w:rPr>
              <w:t>SE Blackburn Extension</w:t>
            </w:r>
          </w:p>
        </w:tc>
        <w:tc>
          <w:tcPr>
            <w:tcW w:w="2254" w:type="dxa"/>
            <w:shd w:val="clear" w:color="auto" w:fill="BFBFBF" w:themeFill="background1" w:themeFillShade="BF"/>
            <w:vAlign w:val="center"/>
          </w:tcPr>
          <w:p w14:paraId="33C9AAA2"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Updated Pennine Gateways Total</w:t>
            </w:r>
          </w:p>
        </w:tc>
      </w:tr>
      <w:tr w:rsidR="003D7511" w14:paraId="7963A6C2" w14:textId="77777777" w:rsidTr="004E790E">
        <w:tc>
          <w:tcPr>
            <w:tcW w:w="2254" w:type="dxa"/>
          </w:tcPr>
          <w:p w14:paraId="599BD03C" w14:textId="77777777" w:rsidR="000361C7" w:rsidRPr="004A0A0D"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Pr>
                <w:rFonts w:eastAsiaTheme="minorHAnsi"/>
                <w:color w:val="auto"/>
                <w:sz w:val="20"/>
                <w:szCs w:val="20"/>
                <w:lang w:eastAsia="en-US"/>
              </w:rPr>
              <w:t>Housing units</w:t>
            </w:r>
          </w:p>
        </w:tc>
        <w:tc>
          <w:tcPr>
            <w:tcW w:w="2254" w:type="dxa"/>
          </w:tcPr>
          <w:p w14:paraId="49906C6E"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870</w:t>
            </w:r>
          </w:p>
        </w:tc>
        <w:tc>
          <w:tcPr>
            <w:tcW w:w="2254" w:type="dxa"/>
          </w:tcPr>
          <w:p w14:paraId="449CA19C"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130</w:t>
            </w:r>
          </w:p>
        </w:tc>
        <w:tc>
          <w:tcPr>
            <w:tcW w:w="2254" w:type="dxa"/>
          </w:tcPr>
          <w:p w14:paraId="47F0BBDB"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1,000</w:t>
            </w:r>
          </w:p>
        </w:tc>
      </w:tr>
      <w:tr w:rsidR="003D7511" w14:paraId="56C786F6" w14:textId="77777777" w:rsidTr="004E790E">
        <w:tc>
          <w:tcPr>
            <w:tcW w:w="2254" w:type="dxa"/>
          </w:tcPr>
          <w:p w14:paraId="7F015762" w14:textId="77777777" w:rsidR="000361C7" w:rsidRPr="004A0A0D"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Pr>
                <w:rFonts w:eastAsiaTheme="minorHAnsi"/>
                <w:color w:val="auto"/>
                <w:sz w:val="20"/>
                <w:szCs w:val="20"/>
                <w:lang w:eastAsia="en-US"/>
              </w:rPr>
              <w:t>Private sector investment</w:t>
            </w:r>
          </w:p>
        </w:tc>
        <w:tc>
          <w:tcPr>
            <w:tcW w:w="2254" w:type="dxa"/>
            <w:vAlign w:val="center"/>
          </w:tcPr>
          <w:p w14:paraId="718254FE"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£125m</w:t>
            </w:r>
          </w:p>
        </w:tc>
        <w:tc>
          <w:tcPr>
            <w:tcW w:w="2254" w:type="dxa"/>
            <w:vAlign w:val="center"/>
          </w:tcPr>
          <w:p w14:paraId="300380FF"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£53m</w:t>
            </w:r>
          </w:p>
        </w:tc>
        <w:tc>
          <w:tcPr>
            <w:tcW w:w="2254" w:type="dxa"/>
            <w:vAlign w:val="center"/>
          </w:tcPr>
          <w:p w14:paraId="11787FB2"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£178m</w:t>
            </w:r>
          </w:p>
        </w:tc>
      </w:tr>
      <w:tr w:rsidR="003D7511" w14:paraId="6B36218F" w14:textId="77777777" w:rsidTr="004E790E">
        <w:tc>
          <w:tcPr>
            <w:tcW w:w="2254" w:type="dxa"/>
          </w:tcPr>
          <w:p w14:paraId="3F916728" w14:textId="77777777" w:rsidR="000361C7" w:rsidRPr="004A0A0D"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Pr>
                <w:rFonts w:eastAsiaTheme="minorHAnsi"/>
                <w:color w:val="auto"/>
                <w:sz w:val="20"/>
                <w:szCs w:val="20"/>
                <w:lang w:eastAsia="en-US"/>
              </w:rPr>
              <w:t>Jobs</w:t>
            </w:r>
          </w:p>
        </w:tc>
        <w:tc>
          <w:tcPr>
            <w:tcW w:w="2254" w:type="dxa"/>
          </w:tcPr>
          <w:p w14:paraId="482F3090"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3,750</w:t>
            </w:r>
          </w:p>
        </w:tc>
        <w:tc>
          <w:tcPr>
            <w:tcW w:w="2254" w:type="dxa"/>
          </w:tcPr>
          <w:p w14:paraId="5566E5A5"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200</w:t>
            </w:r>
          </w:p>
        </w:tc>
        <w:tc>
          <w:tcPr>
            <w:tcW w:w="2254" w:type="dxa"/>
          </w:tcPr>
          <w:p w14:paraId="6784C2E8"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3,950</w:t>
            </w:r>
          </w:p>
        </w:tc>
      </w:tr>
      <w:tr w:rsidR="003D7511" w14:paraId="3E8DFBEA" w14:textId="77777777" w:rsidTr="004E790E">
        <w:tc>
          <w:tcPr>
            <w:tcW w:w="2254" w:type="dxa"/>
          </w:tcPr>
          <w:p w14:paraId="16B25EA4" w14:textId="77777777" w:rsidR="000361C7" w:rsidRPr="004A0A0D"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Pr>
                <w:rFonts w:eastAsiaTheme="minorHAnsi"/>
                <w:color w:val="auto"/>
                <w:sz w:val="20"/>
                <w:szCs w:val="20"/>
                <w:lang w:eastAsia="en-US"/>
              </w:rPr>
              <w:t>Commercial floor space</w:t>
            </w:r>
          </w:p>
        </w:tc>
        <w:tc>
          <w:tcPr>
            <w:tcW w:w="2254" w:type="dxa"/>
            <w:vAlign w:val="center"/>
          </w:tcPr>
          <w:p w14:paraId="53E57E70"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64,000m</w:t>
            </w:r>
            <w:r w:rsidRPr="000B5A5F">
              <w:rPr>
                <w:rFonts w:eastAsiaTheme="minorHAnsi"/>
                <w:color w:val="auto"/>
                <w:sz w:val="20"/>
                <w:szCs w:val="20"/>
                <w:vertAlign w:val="superscript"/>
                <w:lang w:eastAsia="en-US"/>
              </w:rPr>
              <w:t>2</w:t>
            </w:r>
          </w:p>
        </w:tc>
        <w:tc>
          <w:tcPr>
            <w:tcW w:w="2254" w:type="dxa"/>
            <w:vAlign w:val="center"/>
          </w:tcPr>
          <w:p w14:paraId="263065C2"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9,290m</w:t>
            </w:r>
            <w:r w:rsidRPr="000B5A5F">
              <w:rPr>
                <w:rFonts w:eastAsiaTheme="minorHAnsi"/>
                <w:color w:val="auto"/>
                <w:sz w:val="20"/>
                <w:szCs w:val="20"/>
                <w:vertAlign w:val="superscript"/>
                <w:lang w:eastAsia="en-US"/>
              </w:rPr>
              <w:t>2</w:t>
            </w:r>
          </w:p>
        </w:tc>
        <w:tc>
          <w:tcPr>
            <w:tcW w:w="2254" w:type="dxa"/>
            <w:vAlign w:val="center"/>
          </w:tcPr>
          <w:p w14:paraId="29BC7980"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73,290m</w:t>
            </w:r>
            <w:r w:rsidRPr="000B5A5F">
              <w:rPr>
                <w:rFonts w:eastAsiaTheme="minorHAnsi"/>
                <w:color w:val="auto"/>
                <w:sz w:val="20"/>
                <w:szCs w:val="20"/>
                <w:vertAlign w:val="superscript"/>
                <w:lang w:eastAsia="en-US"/>
              </w:rPr>
              <w:t>2</w:t>
            </w:r>
          </w:p>
        </w:tc>
      </w:tr>
      <w:tr w:rsidR="003D7511" w14:paraId="75666B53" w14:textId="77777777" w:rsidTr="004E790E">
        <w:tc>
          <w:tcPr>
            <w:tcW w:w="2254" w:type="dxa"/>
          </w:tcPr>
          <w:p w14:paraId="680626BB" w14:textId="77777777" w:rsidR="000361C7"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Pr>
                <w:rFonts w:eastAsiaTheme="minorHAnsi"/>
                <w:color w:val="auto"/>
                <w:sz w:val="20"/>
                <w:szCs w:val="20"/>
                <w:lang w:eastAsia="en-US"/>
              </w:rPr>
              <w:t>Gross Value Added</w:t>
            </w:r>
          </w:p>
        </w:tc>
        <w:tc>
          <w:tcPr>
            <w:tcW w:w="2254" w:type="dxa"/>
          </w:tcPr>
          <w:p w14:paraId="4F08D542"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£414.7m</w:t>
            </w:r>
          </w:p>
        </w:tc>
        <w:tc>
          <w:tcPr>
            <w:tcW w:w="2254" w:type="dxa"/>
          </w:tcPr>
          <w:p w14:paraId="20EA3273"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£38.9m</w:t>
            </w:r>
          </w:p>
        </w:tc>
        <w:tc>
          <w:tcPr>
            <w:tcW w:w="2254" w:type="dxa"/>
          </w:tcPr>
          <w:p w14:paraId="539E27B7" w14:textId="77777777" w:rsidR="000361C7" w:rsidRPr="004A0A0D"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£453.6m</w:t>
            </w:r>
          </w:p>
        </w:tc>
      </w:tr>
    </w:tbl>
    <w:p w14:paraId="753032CE" w14:textId="77777777" w:rsidR="000361C7" w:rsidRDefault="00DD2FC6" w:rsidP="000361C7">
      <w:pPr>
        <w:autoSpaceDE w:val="0"/>
        <w:autoSpaceDN w:val="0"/>
        <w:adjustRightInd w:val="0"/>
        <w:spacing w:after="0" w:line="240" w:lineRule="auto"/>
        <w:ind w:left="0" w:firstLine="0"/>
        <w:jc w:val="both"/>
        <w:rPr>
          <w:rFonts w:eastAsiaTheme="minorHAnsi"/>
          <w:color w:val="auto"/>
          <w:lang w:eastAsia="en-US"/>
        </w:rPr>
      </w:pPr>
    </w:p>
    <w:p w14:paraId="5519F927" w14:textId="77777777" w:rsidR="000361C7" w:rsidRDefault="00B931F9" w:rsidP="000361C7">
      <w:pPr>
        <w:autoSpaceDE w:val="0"/>
        <w:autoSpaceDN w:val="0"/>
        <w:adjustRightInd w:val="0"/>
        <w:spacing w:after="0" w:line="240" w:lineRule="auto"/>
        <w:ind w:left="0" w:firstLine="0"/>
        <w:jc w:val="both"/>
        <w:rPr>
          <w:rFonts w:eastAsiaTheme="minorHAnsi"/>
          <w:color w:val="auto"/>
          <w:lang w:eastAsia="en-US"/>
        </w:rPr>
      </w:pPr>
      <w:r w:rsidRPr="00F6469E">
        <w:rPr>
          <w:rFonts w:eastAsiaTheme="minorHAnsi"/>
          <w:color w:val="auto"/>
          <w:lang w:eastAsia="en-US"/>
        </w:rPr>
        <w:t xml:space="preserve">The </w:t>
      </w:r>
      <w:r>
        <w:rPr>
          <w:rFonts w:eastAsiaTheme="minorHAnsi"/>
          <w:color w:val="auto"/>
          <w:lang w:eastAsia="en-US"/>
        </w:rPr>
        <w:t xml:space="preserve">South East Blackburn </w:t>
      </w:r>
      <w:r w:rsidRPr="00F6469E">
        <w:rPr>
          <w:rFonts w:eastAsiaTheme="minorHAnsi"/>
          <w:color w:val="auto"/>
          <w:lang w:eastAsia="en-US"/>
        </w:rPr>
        <w:t xml:space="preserve">scheme has the potential to generate a further £240 million (2010 prices discounted) of wider economic benefits over the appraisal period arising from the developments the scheme will unlock.  This results in the wider 'Pennine Gateways' project delivering higher gross value added benefits (to 2025) than </w:t>
      </w:r>
      <w:r>
        <w:rPr>
          <w:rFonts w:eastAsiaTheme="minorHAnsi"/>
          <w:color w:val="auto"/>
          <w:lang w:eastAsia="en-US"/>
        </w:rPr>
        <w:t>the revised Pennine Gateways total in Table 1.  Table 2 below refers.</w:t>
      </w:r>
    </w:p>
    <w:p w14:paraId="607831CC" w14:textId="77777777" w:rsidR="000361C7" w:rsidRDefault="00DD2FC6" w:rsidP="000361C7">
      <w:pPr>
        <w:autoSpaceDE w:val="0"/>
        <w:autoSpaceDN w:val="0"/>
        <w:adjustRightInd w:val="0"/>
        <w:spacing w:after="0" w:line="240" w:lineRule="auto"/>
        <w:ind w:left="0" w:firstLine="0"/>
        <w:jc w:val="both"/>
        <w:rPr>
          <w:rFonts w:eastAsiaTheme="minorHAnsi"/>
          <w:color w:val="auto"/>
          <w:lang w:eastAsia="en-US"/>
        </w:rPr>
      </w:pPr>
    </w:p>
    <w:p w14:paraId="7E1B36C6" w14:textId="77777777" w:rsidR="000361C7" w:rsidRPr="00F6469E" w:rsidRDefault="00B931F9" w:rsidP="000361C7">
      <w:pPr>
        <w:autoSpaceDE w:val="0"/>
        <w:autoSpaceDN w:val="0"/>
        <w:adjustRightInd w:val="0"/>
        <w:spacing w:after="0" w:line="240" w:lineRule="auto"/>
        <w:ind w:left="0" w:firstLine="0"/>
        <w:jc w:val="both"/>
        <w:rPr>
          <w:rFonts w:eastAsiaTheme="minorHAnsi"/>
          <w:b/>
          <w:color w:val="auto"/>
          <w:lang w:eastAsia="en-US"/>
        </w:rPr>
      </w:pPr>
      <w:r>
        <w:rPr>
          <w:rFonts w:eastAsiaTheme="minorHAnsi"/>
          <w:b/>
          <w:color w:val="auto"/>
          <w:lang w:eastAsia="en-US"/>
        </w:rPr>
        <w:t>Table 2:</w:t>
      </w:r>
      <w:r w:rsidRPr="00F6469E">
        <w:rPr>
          <w:rFonts w:eastAsiaTheme="minorHAnsi"/>
          <w:b/>
          <w:color w:val="auto"/>
          <w:lang w:eastAsia="en-US"/>
        </w:rPr>
        <w:t xml:space="preserve"> Economic Output</w:t>
      </w:r>
      <w:r>
        <w:rPr>
          <w:rFonts w:eastAsiaTheme="minorHAnsi"/>
          <w:b/>
          <w:color w:val="auto"/>
          <w:lang w:eastAsia="en-US"/>
        </w:rPr>
        <w:t>s</w:t>
      </w:r>
      <w:r w:rsidRPr="00F6469E">
        <w:rPr>
          <w:rFonts w:eastAsiaTheme="minorHAnsi"/>
          <w:b/>
          <w:color w:val="auto"/>
          <w:lang w:eastAsia="en-US"/>
        </w:rPr>
        <w:t xml:space="preserve"> Comparison</w:t>
      </w:r>
      <w:r>
        <w:rPr>
          <w:rFonts w:eastAsiaTheme="minorHAnsi"/>
          <w:b/>
          <w:color w:val="auto"/>
          <w:lang w:eastAsia="en-US"/>
        </w:rPr>
        <w:t xml:space="preserve"> to 2025</w:t>
      </w:r>
    </w:p>
    <w:p w14:paraId="751137B2" w14:textId="77777777" w:rsidR="000361C7" w:rsidRPr="00F6469E" w:rsidRDefault="00DD2FC6" w:rsidP="000361C7">
      <w:pPr>
        <w:autoSpaceDE w:val="0"/>
        <w:autoSpaceDN w:val="0"/>
        <w:adjustRightInd w:val="0"/>
        <w:spacing w:after="0" w:line="240" w:lineRule="auto"/>
        <w:ind w:left="0" w:firstLine="0"/>
        <w:jc w:val="both"/>
        <w:rPr>
          <w:rFonts w:eastAsiaTheme="minorHAnsi"/>
          <w:color w:val="auto"/>
          <w:lang w:eastAsia="en-US"/>
        </w:rPr>
      </w:pPr>
    </w:p>
    <w:tbl>
      <w:tblPr>
        <w:tblStyle w:val="TableGrid"/>
        <w:tblW w:w="9067" w:type="dxa"/>
        <w:tblLook w:val="04A0" w:firstRow="1" w:lastRow="0" w:firstColumn="1" w:lastColumn="0" w:noHBand="0" w:noVBand="1"/>
      </w:tblPr>
      <w:tblGrid>
        <w:gridCol w:w="1696"/>
        <w:gridCol w:w="1247"/>
        <w:gridCol w:w="1175"/>
        <w:gridCol w:w="1250"/>
        <w:gridCol w:w="1928"/>
        <w:gridCol w:w="1771"/>
      </w:tblGrid>
      <w:tr w:rsidR="003D7511" w14:paraId="6FA6983F" w14:textId="77777777" w:rsidTr="004E790E">
        <w:tc>
          <w:tcPr>
            <w:tcW w:w="1696" w:type="dxa"/>
            <w:shd w:val="clear" w:color="auto" w:fill="BFBFBF" w:themeFill="background1" w:themeFillShade="BF"/>
            <w:vAlign w:val="center"/>
          </w:tcPr>
          <w:p w14:paraId="3092ABEA"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Economic Output</w:t>
            </w:r>
          </w:p>
        </w:tc>
        <w:tc>
          <w:tcPr>
            <w:tcW w:w="1247" w:type="dxa"/>
            <w:shd w:val="clear" w:color="auto" w:fill="BFBFBF" w:themeFill="background1" w:themeFillShade="BF"/>
            <w:vAlign w:val="center"/>
          </w:tcPr>
          <w:p w14:paraId="05D9FA6A" w14:textId="77777777" w:rsidR="000361C7" w:rsidRPr="00FE6780" w:rsidRDefault="00B931F9" w:rsidP="004E790E">
            <w:pPr>
              <w:autoSpaceDE w:val="0"/>
              <w:autoSpaceDN w:val="0"/>
              <w:adjustRightInd w:val="0"/>
              <w:spacing w:after="0" w:line="240" w:lineRule="auto"/>
              <w:ind w:left="0" w:firstLine="0"/>
              <w:jc w:val="center"/>
              <w:rPr>
                <w:rFonts w:eastAsiaTheme="minorHAnsi"/>
                <w:b/>
                <w:color w:val="auto"/>
                <w:sz w:val="20"/>
                <w:szCs w:val="20"/>
                <w:lang w:eastAsia="en-US"/>
              </w:rPr>
            </w:pPr>
            <w:r w:rsidRPr="00FE6780">
              <w:rPr>
                <w:rFonts w:eastAsiaTheme="minorHAnsi"/>
                <w:b/>
                <w:color w:val="auto"/>
                <w:sz w:val="20"/>
                <w:szCs w:val="20"/>
                <w:lang w:eastAsia="en-US"/>
              </w:rPr>
              <w:t>South East Blackburn</w:t>
            </w:r>
          </w:p>
        </w:tc>
        <w:tc>
          <w:tcPr>
            <w:tcW w:w="1175" w:type="dxa"/>
            <w:shd w:val="clear" w:color="auto" w:fill="BFBFBF" w:themeFill="background1" w:themeFillShade="BF"/>
            <w:vAlign w:val="center"/>
          </w:tcPr>
          <w:p w14:paraId="16687626"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North Blackburn</w:t>
            </w:r>
          </w:p>
        </w:tc>
        <w:tc>
          <w:tcPr>
            <w:tcW w:w="1250" w:type="dxa"/>
            <w:shd w:val="clear" w:color="auto" w:fill="BFBFBF" w:themeFill="background1" w:themeFillShade="BF"/>
            <w:vAlign w:val="center"/>
          </w:tcPr>
          <w:p w14:paraId="408947C7"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proofErr w:type="spellStart"/>
            <w:r w:rsidRPr="00FE6780">
              <w:rPr>
                <w:rFonts w:eastAsiaTheme="minorHAnsi"/>
                <w:color w:val="auto"/>
                <w:sz w:val="20"/>
                <w:szCs w:val="20"/>
                <w:lang w:eastAsia="en-US"/>
              </w:rPr>
              <w:t>Furthergate</w:t>
            </w:r>
            <w:proofErr w:type="spellEnd"/>
          </w:p>
        </w:tc>
        <w:tc>
          <w:tcPr>
            <w:tcW w:w="1928" w:type="dxa"/>
            <w:shd w:val="clear" w:color="auto" w:fill="BFBFBF" w:themeFill="background1" w:themeFillShade="BF"/>
            <w:vAlign w:val="center"/>
          </w:tcPr>
          <w:p w14:paraId="6D936B11"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Combined Pennine Gateways Final Total</w:t>
            </w:r>
          </w:p>
        </w:tc>
        <w:tc>
          <w:tcPr>
            <w:tcW w:w="1771" w:type="dxa"/>
            <w:shd w:val="clear" w:color="auto" w:fill="BFBFBF" w:themeFill="background1" w:themeFillShade="BF"/>
            <w:vAlign w:val="center"/>
          </w:tcPr>
          <w:p w14:paraId="4B7F59D8" w14:textId="77777777" w:rsidR="000361C7" w:rsidRDefault="00B931F9" w:rsidP="00D23057">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Difference Updated to Final</w:t>
            </w:r>
          </w:p>
        </w:tc>
      </w:tr>
      <w:tr w:rsidR="003D7511" w14:paraId="05A5C4BD" w14:textId="77777777" w:rsidTr="004E790E">
        <w:tc>
          <w:tcPr>
            <w:tcW w:w="1696" w:type="dxa"/>
          </w:tcPr>
          <w:p w14:paraId="652B8E7D" w14:textId="77777777" w:rsidR="000361C7" w:rsidRPr="00FE6780"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sidRPr="00FE6780">
              <w:rPr>
                <w:rFonts w:eastAsiaTheme="minorHAnsi"/>
                <w:color w:val="auto"/>
                <w:sz w:val="20"/>
                <w:szCs w:val="20"/>
                <w:lang w:eastAsia="en-US"/>
              </w:rPr>
              <w:t>Housing units</w:t>
            </w:r>
          </w:p>
        </w:tc>
        <w:tc>
          <w:tcPr>
            <w:tcW w:w="1247" w:type="dxa"/>
            <w:vAlign w:val="center"/>
          </w:tcPr>
          <w:p w14:paraId="530636F0"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647</w:t>
            </w:r>
          </w:p>
        </w:tc>
        <w:tc>
          <w:tcPr>
            <w:tcW w:w="1175" w:type="dxa"/>
            <w:vAlign w:val="center"/>
          </w:tcPr>
          <w:p w14:paraId="307673C0"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427</w:t>
            </w:r>
          </w:p>
        </w:tc>
        <w:tc>
          <w:tcPr>
            <w:tcW w:w="1250" w:type="dxa"/>
            <w:vAlign w:val="center"/>
          </w:tcPr>
          <w:p w14:paraId="4B434911"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Nil</w:t>
            </w:r>
          </w:p>
        </w:tc>
        <w:tc>
          <w:tcPr>
            <w:tcW w:w="1928" w:type="dxa"/>
            <w:vAlign w:val="center"/>
          </w:tcPr>
          <w:p w14:paraId="6F56F37B"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1,074</w:t>
            </w:r>
          </w:p>
        </w:tc>
        <w:tc>
          <w:tcPr>
            <w:tcW w:w="1771" w:type="dxa"/>
            <w:vAlign w:val="center"/>
          </w:tcPr>
          <w:p w14:paraId="75C79B82" w14:textId="77777777" w:rsidR="000361C7"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+74</w:t>
            </w:r>
          </w:p>
        </w:tc>
      </w:tr>
      <w:tr w:rsidR="003D7511" w14:paraId="016F246F" w14:textId="77777777" w:rsidTr="004E790E">
        <w:tc>
          <w:tcPr>
            <w:tcW w:w="1696" w:type="dxa"/>
            <w:vAlign w:val="center"/>
          </w:tcPr>
          <w:p w14:paraId="43793989" w14:textId="77777777" w:rsidR="000361C7" w:rsidRPr="00FE6780"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sidRPr="00FE6780">
              <w:rPr>
                <w:rFonts w:eastAsiaTheme="minorHAnsi"/>
                <w:color w:val="auto"/>
                <w:sz w:val="20"/>
                <w:szCs w:val="20"/>
                <w:lang w:eastAsia="en-US"/>
              </w:rPr>
              <w:t>Private sector investment</w:t>
            </w:r>
          </w:p>
        </w:tc>
        <w:tc>
          <w:tcPr>
            <w:tcW w:w="1247" w:type="dxa"/>
            <w:vAlign w:val="center"/>
          </w:tcPr>
          <w:p w14:paraId="1CA1236C" w14:textId="77777777" w:rsidR="000361C7" w:rsidRPr="00FE6780" w:rsidRDefault="00B931F9" w:rsidP="00622C07">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£165m*</w:t>
            </w:r>
          </w:p>
        </w:tc>
        <w:tc>
          <w:tcPr>
            <w:tcW w:w="1175" w:type="dxa"/>
            <w:vAlign w:val="center"/>
          </w:tcPr>
          <w:p w14:paraId="6CD8BA3A"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Nil</w:t>
            </w:r>
          </w:p>
        </w:tc>
        <w:tc>
          <w:tcPr>
            <w:tcW w:w="1250" w:type="dxa"/>
            <w:vAlign w:val="center"/>
          </w:tcPr>
          <w:p w14:paraId="516D34A9"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£40m</w:t>
            </w:r>
          </w:p>
        </w:tc>
        <w:tc>
          <w:tcPr>
            <w:tcW w:w="1928" w:type="dxa"/>
            <w:vAlign w:val="center"/>
          </w:tcPr>
          <w:p w14:paraId="658A1F51" w14:textId="77777777" w:rsidR="000361C7" w:rsidRPr="00FE6780" w:rsidRDefault="00B931F9" w:rsidP="00622C07">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£205m</w:t>
            </w:r>
          </w:p>
        </w:tc>
        <w:tc>
          <w:tcPr>
            <w:tcW w:w="1771" w:type="dxa"/>
            <w:vAlign w:val="center"/>
          </w:tcPr>
          <w:p w14:paraId="7EE06427" w14:textId="77777777" w:rsidR="000361C7" w:rsidRPr="00DC005F" w:rsidRDefault="00B931F9" w:rsidP="00622C07">
            <w:pPr>
              <w:autoSpaceDE w:val="0"/>
              <w:autoSpaceDN w:val="0"/>
              <w:adjustRightInd w:val="0"/>
              <w:spacing w:after="0" w:line="240" w:lineRule="auto"/>
              <w:ind w:left="0" w:firstLine="0"/>
              <w:jc w:val="center"/>
              <w:rPr>
                <w:rFonts w:eastAsiaTheme="minorHAnsi"/>
                <w:color w:val="auto"/>
                <w:sz w:val="20"/>
                <w:szCs w:val="20"/>
                <w:highlight w:val="yellow"/>
                <w:lang w:eastAsia="en-US"/>
              </w:rPr>
            </w:pPr>
            <w:r>
              <w:rPr>
                <w:rFonts w:eastAsiaTheme="minorHAnsi"/>
                <w:color w:val="auto"/>
                <w:sz w:val="20"/>
                <w:szCs w:val="20"/>
                <w:lang w:eastAsia="en-US"/>
              </w:rPr>
              <w:t>+</w:t>
            </w:r>
            <w:r w:rsidRPr="00242072">
              <w:rPr>
                <w:rFonts w:eastAsiaTheme="minorHAnsi"/>
                <w:color w:val="auto"/>
                <w:sz w:val="20"/>
                <w:szCs w:val="20"/>
                <w:lang w:eastAsia="en-US"/>
              </w:rPr>
              <w:t>£2</w:t>
            </w:r>
            <w:r>
              <w:rPr>
                <w:rFonts w:eastAsiaTheme="minorHAnsi"/>
                <w:color w:val="auto"/>
                <w:sz w:val="20"/>
                <w:szCs w:val="20"/>
                <w:lang w:eastAsia="en-US"/>
              </w:rPr>
              <w:t>7</w:t>
            </w:r>
            <w:r w:rsidRPr="00242072">
              <w:rPr>
                <w:rFonts w:eastAsiaTheme="minorHAnsi"/>
                <w:color w:val="auto"/>
                <w:sz w:val="20"/>
                <w:szCs w:val="20"/>
                <w:lang w:eastAsia="en-US"/>
              </w:rPr>
              <w:t>m</w:t>
            </w:r>
          </w:p>
        </w:tc>
      </w:tr>
      <w:tr w:rsidR="003D7511" w14:paraId="4EF1739E" w14:textId="77777777" w:rsidTr="004E790E">
        <w:tc>
          <w:tcPr>
            <w:tcW w:w="1696" w:type="dxa"/>
          </w:tcPr>
          <w:p w14:paraId="1FD557F8" w14:textId="77777777" w:rsidR="000361C7" w:rsidRPr="00FE6780"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sidRPr="00FE6780">
              <w:rPr>
                <w:rFonts w:eastAsiaTheme="minorHAnsi"/>
                <w:color w:val="auto"/>
                <w:sz w:val="20"/>
                <w:szCs w:val="20"/>
                <w:lang w:eastAsia="en-US"/>
              </w:rPr>
              <w:t>Jobs</w:t>
            </w:r>
          </w:p>
        </w:tc>
        <w:tc>
          <w:tcPr>
            <w:tcW w:w="1247" w:type="dxa"/>
          </w:tcPr>
          <w:p w14:paraId="569C8DED" w14:textId="77777777" w:rsidR="000361C7" w:rsidRPr="00FE6780" w:rsidRDefault="00B931F9" w:rsidP="004E790E">
            <w:pPr>
              <w:autoSpaceDE w:val="0"/>
              <w:autoSpaceDN w:val="0"/>
              <w:adjustRightInd w:val="0"/>
              <w:spacing w:after="0" w:line="240" w:lineRule="auto"/>
              <w:ind w:left="220" w:hanging="220"/>
              <w:jc w:val="center"/>
              <w:rPr>
                <w:rFonts w:eastAsiaTheme="minorHAnsi"/>
                <w:color w:val="auto"/>
                <w:sz w:val="20"/>
                <w:szCs w:val="20"/>
                <w:lang w:eastAsia="en-US"/>
              </w:rPr>
            </w:pPr>
            <w:r>
              <w:rPr>
                <w:rFonts w:eastAsiaTheme="minorHAnsi"/>
                <w:color w:val="auto"/>
                <w:sz w:val="20"/>
                <w:szCs w:val="20"/>
                <w:lang w:eastAsia="en-US"/>
              </w:rPr>
              <w:t>3,857</w:t>
            </w:r>
          </w:p>
        </w:tc>
        <w:tc>
          <w:tcPr>
            <w:tcW w:w="1175" w:type="dxa"/>
          </w:tcPr>
          <w:p w14:paraId="4EFD915B"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Nil</w:t>
            </w:r>
          </w:p>
        </w:tc>
        <w:tc>
          <w:tcPr>
            <w:tcW w:w="1250" w:type="dxa"/>
          </w:tcPr>
          <w:p w14:paraId="70BE2087"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438</w:t>
            </w:r>
          </w:p>
        </w:tc>
        <w:tc>
          <w:tcPr>
            <w:tcW w:w="1928" w:type="dxa"/>
          </w:tcPr>
          <w:p w14:paraId="48F2DE64"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4,295</w:t>
            </w:r>
          </w:p>
        </w:tc>
        <w:tc>
          <w:tcPr>
            <w:tcW w:w="1771" w:type="dxa"/>
          </w:tcPr>
          <w:p w14:paraId="284A8C34" w14:textId="77777777" w:rsidR="000361C7"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+345</w:t>
            </w:r>
          </w:p>
        </w:tc>
      </w:tr>
      <w:tr w:rsidR="003D7511" w14:paraId="5E8E8C67" w14:textId="77777777" w:rsidTr="004E790E">
        <w:tc>
          <w:tcPr>
            <w:tcW w:w="1696" w:type="dxa"/>
          </w:tcPr>
          <w:p w14:paraId="1FED4E3D" w14:textId="77777777" w:rsidR="000361C7" w:rsidRPr="00FE6780"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sidRPr="00FE6780">
              <w:rPr>
                <w:rFonts w:eastAsiaTheme="minorHAnsi"/>
                <w:color w:val="auto"/>
                <w:sz w:val="20"/>
                <w:szCs w:val="20"/>
                <w:lang w:eastAsia="en-US"/>
              </w:rPr>
              <w:t>Commercial floor space</w:t>
            </w:r>
          </w:p>
        </w:tc>
        <w:tc>
          <w:tcPr>
            <w:tcW w:w="1247" w:type="dxa"/>
            <w:vAlign w:val="center"/>
          </w:tcPr>
          <w:p w14:paraId="6DDF4BD4"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91,595m</w:t>
            </w:r>
            <w:r w:rsidRPr="008A0C52">
              <w:rPr>
                <w:rFonts w:eastAsiaTheme="minorHAnsi"/>
                <w:color w:val="auto"/>
                <w:sz w:val="20"/>
                <w:szCs w:val="20"/>
                <w:vertAlign w:val="superscript"/>
                <w:lang w:eastAsia="en-US"/>
              </w:rPr>
              <w:t>2</w:t>
            </w:r>
          </w:p>
        </w:tc>
        <w:tc>
          <w:tcPr>
            <w:tcW w:w="1175" w:type="dxa"/>
            <w:vAlign w:val="center"/>
          </w:tcPr>
          <w:p w14:paraId="2A6D03C5"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Nil</w:t>
            </w:r>
          </w:p>
        </w:tc>
        <w:tc>
          <w:tcPr>
            <w:tcW w:w="1250" w:type="dxa"/>
            <w:vAlign w:val="center"/>
          </w:tcPr>
          <w:p w14:paraId="33366ADE"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17,500m</w:t>
            </w:r>
            <w:r w:rsidRPr="00FE6780">
              <w:rPr>
                <w:rFonts w:eastAsiaTheme="minorHAnsi"/>
                <w:color w:val="auto"/>
                <w:sz w:val="20"/>
                <w:szCs w:val="20"/>
                <w:vertAlign w:val="superscript"/>
                <w:lang w:eastAsia="en-US"/>
              </w:rPr>
              <w:t>2</w:t>
            </w:r>
          </w:p>
        </w:tc>
        <w:tc>
          <w:tcPr>
            <w:tcW w:w="1928" w:type="dxa"/>
            <w:vAlign w:val="center"/>
          </w:tcPr>
          <w:p w14:paraId="49AE995E"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109,095m</w:t>
            </w:r>
            <w:r w:rsidRPr="008A0C52">
              <w:rPr>
                <w:rFonts w:eastAsiaTheme="minorHAnsi"/>
                <w:color w:val="auto"/>
                <w:sz w:val="20"/>
                <w:szCs w:val="20"/>
                <w:vertAlign w:val="superscript"/>
                <w:lang w:eastAsia="en-US"/>
              </w:rPr>
              <w:t>2</w:t>
            </w:r>
          </w:p>
        </w:tc>
        <w:tc>
          <w:tcPr>
            <w:tcW w:w="1771" w:type="dxa"/>
            <w:vAlign w:val="center"/>
          </w:tcPr>
          <w:p w14:paraId="4A3E995E" w14:textId="77777777" w:rsidR="000361C7"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+35,805m</w:t>
            </w:r>
            <w:r w:rsidRPr="0098447A">
              <w:rPr>
                <w:rFonts w:eastAsiaTheme="minorHAnsi"/>
                <w:color w:val="auto"/>
                <w:sz w:val="20"/>
                <w:szCs w:val="20"/>
                <w:vertAlign w:val="superscript"/>
                <w:lang w:eastAsia="en-US"/>
              </w:rPr>
              <w:t>2</w:t>
            </w:r>
          </w:p>
        </w:tc>
      </w:tr>
      <w:tr w:rsidR="003D7511" w14:paraId="213B088D" w14:textId="77777777" w:rsidTr="004E790E">
        <w:tc>
          <w:tcPr>
            <w:tcW w:w="1696" w:type="dxa"/>
          </w:tcPr>
          <w:p w14:paraId="1DAD42C8" w14:textId="77777777" w:rsidR="000361C7" w:rsidRPr="00FE6780" w:rsidRDefault="00B931F9" w:rsidP="004E790E">
            <w:pPr>
              <w:autoSpaceDE w:val="0"/>
              <w:autoSpaceDN w:val="0"/>
              <w:adjustRightInd w:val="0"/>
              <w:spacing w:after="0" w:line="240" w:lineRule="auto"/>
              <w:ind w:left="0" w:firstLine="0"/>
              <w:rPr>
                <w:rFonts w:eastAsiaTheme="minorHAnsi"/>
                <w:color w:val="auto"/>
                <w:sz w:val="20"/>
                <w:szCs w:val="20"/>
                <w:lang w:eastAsia="en-US"/>
              </w:rPr>
            </w:pPr>
            <w:r w:rsidRPr="00FE6780">
              <w:rPr>
                <w:rFonts w:eastAsiaTheme="minorHAnsi"/>
                <w:color w:val="auto"/>
                <w:sz w:val="20"/>
                <w:szCs w:val="20"/>
                <w:lang w:eastAsia="en-US"/>
              </w:rPr>
              <w:t>G</w:t>
            </w:r>
            <w:r>
              <w:rPr>
                <w:rFonts w:eastAsiaTheme="minorHAnsi"/>
                <w:color w:val="auto"/>
                <w:sz w:val="20"/>
                <w:szCs w:val="20"/>
                <w:lang w:eastAsia="en-US"/>
              </w:rPr>
              <w:t xml:space="preserve">ross </w:t>
            </w:r>
            <w:r w:rsidRPr="00FE6780">
              <w:rPr>
                <w:rFonts w:eastAsiaTheme="minorHAnsi"/>
                <w:color w:val="auto"/>
                <w:sz w:val="20"/>
                <w:szCs w:val="20"/>
                <w:lang w:eastAsia="en-US"/>
              </w:rPr>
              <w:t>V</w:t>
            </w:r>
            <w:r>
              <w:rPr>
                <w:rFonts w:eastAsiaTheme="minorHAnsi"/>
                <w:color w:val="auto"/>
                <w:sz w:val="20"/>
                <w:szCs w:val="20"/>
                <w:lang w:eastAsia="en-US"/>
              </w:rPr>
              <w:t xml:space="preserve">alue </w:t>
            </w:r>
            <w:r w:rsidRPr="00FE6780">
              <w:rPr>
                <w:rFonts w:eastAsiaTheme="minorHAnsi"/>
                <w:color w:val="auto"/>
                <w:sz w:val="20"/>
                <w:szCs w:val="20"/>
                <w:lang w:eastAsia="en-US"/>
              </w:rPr>
              <w:t>A</w:t>
            </w:r>
            <w:r>
              <w:rPr>
                <w:rFonts w:eastAsiaTheme="minorHAnsi"/>
                <w:color w:val="auto"/>
                <w:sz w:val="20"/>
                <w:szCs w:val="20"/>
                <w:lang w:eastAsia="en-US"/>
              </w:rPr>
              <w:t>dded</w:t>
            </w:r>
          </w:p>
        </w:tc>
        <w:tc>
          <w:tcPr>
            <w:tcW w:w="1247" w:type="dxa"/>
          </w:tcPr>
          <w:p w14:paraId="1AE7B3B2"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£240m</w:t>
            </w:r>
          </w:p>
        </w:tc>
        <w:tc>
          <w:tcPr>
            <w:tcW w:w="1175" w:type="dxa"/>
          </w:tcPr>
          <w:p w14:paraId="45E5809E"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£17m</w:t>
            </w:r>
          </w:p>
        </w:tc>
        <w:tc>
          <w:tcPr>
            <w:tcW w:w="1250" w:type="dxa"/>
          </w:tcPr>
          <w:p w14:paraId="1083F5C8"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sidRPr="00FE6780">
              <w:rPr>
                <w:rFonts w:eastAsiaTheme="minorHAnsi"/>
                <w:color w:val="auto"/>
                <w:sz w:val="20"/>
                <w:szCs w:val="20"/>
                <w:lang w:eastAsia="en-US"/>
              </w:rPr>
              <w:t>£236m</w:t>
            </w:r>
          </w:p>
        </w:tc>
        <w:tc>
          <w:tcPr>
            <w:tcW w:w="1928" w:type="dxa"/>
          </w:tcPr>
          <w:p w14:paraId="3178BEF7" w14:textId="77777777" w:rsidR="000361C7" w:rsidRPr="00FE6780"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£493m</w:t>
            </w:r>
          </w:p>
        </w:tc>
        <w:tc>
          <w:tcPr>
            <w:tcW w:w="1771" w:type="dxa"/>
          </w:tcPr>
          <w:p w14:paraId="0042E440" w14:textId="77777777" w:rsidR="000361C7" w:rsidRDefault="00B931F9" w:rsidP="004E790E">
            <w:pPr>
              <w:autoSpaceDE w:val="0"/>
              <w:autoSpaceDN w:val="0"/>
              <w:adjustRightInd w:val="0"/>
              <w:spacing w:after="0" w:line="240" w:lineRule="auto"/>
              <w:ind w:left="0" w:firstLine="0"/>
              <w:jc w:val="center"/>
              <w:rPr>
                <w:rFonts w:eastAsiaTheme="minorHAnsi"/>
                <w:color w:val="auto"/>
                <w:sz w:val="20"/>
                <w:szCs w:val="20"/>
                <w:lang w:eastAsia="en-US"/>
              </w:rPr>
            </w:pPr>
            <w:r>
              <w:rPr>
                <w:rFonts w:eastAsiaTheme="minorHAnsi"/>
                <w:color w:val="auto"/>
                <w:sz w:val="20"/>
                <w:szCs w:val="20"/>
                <w:lang w:eastAsia="en-US"/>
              </w:rPr>
              <w:t>+£39.4m</w:t>
            </w:r>
          </w:p>
        </w:tc>
      </w:tr>
    </w:tbl>
    <w:p w14:paraId="70C3BD85" w14:textId="77777777" w:rsidR="000361C7" w:rsidRPr="00F6469E" w:rsidRDefault="00DD2FC6" w:rsidP="00242072">
      <w:pPr>
        <w:autoSpaceDE w:val="0"/>
        <w:autoSpaceDN w:val="0"/>
        <w:adjustRightInd w:val="0"/>
        <w:spacing w:after="0" w:line="240" w:lineRule="auto"/>
        <w:ind w:left="0" w:firstLine="0"/>
        <w:jc w:val="both"/>
        <w:rPr>
          <w:rFonts w:eastAsiaTheme="minorHAnsi"/>
          <w:color w:val="auto"/>
          <w:lang w:eastAsia="en-US"/>
        </w:rPr>
      </w:pPr>
    </w:p>
    <w:p w14:paraId="204A9DAA" w14:textId="5F49BBCB" w:rsidR="000361C7" w:rsidRDefault="00B931F9" w:rsidP="00242072">
      <w:pPr>
        <w:ind w:left="0" w:firstLine="0"/>
        <w:jc w:val="both"/>
      </w:pPr>
      <w:r>
        <w:t>In summary, the principal objective of the South East Blackburn scheme is to support the delivery of new homes, new businesses and jobs whilst alleviating congestion on key routes.  The committee should note that this scheme is responsible for achieving a significant proportion of the economic outputs for the whole 'Pennine Gateways' project, including additional outputs beyond the original submission.</w:t>
      </w:r>
    </w:p>
    <w:p w14:paraId="698F5075" w14:textId="77777777" w:rsidR="00066947" w:rsidRDefault="00DD2FC6" w:rsidP="000361C7">
      <w:pPr>
        <w:ind w:left="0" w:firstLine="0"/>
      </w:pPr>
    </w:p>
    <w:p w14:paraId="3A0E8035" w14:textId="77777777" w:rsidR="008B4271" w:rsidRPr="00F6469E" w:rsidRDefault="00DD2FC6" w:rsidP="000361C7">
      <w:pPr>
        <w:ind w:left="0" w:firstLine="0"/>
      </w:pPr>
    </w:p>
    <w:p w14:paraId="595933B7" w14:textId="77777777" w:rsidR="0032092C" w:rsidRPr="00ED571D" w:rsidRDefault="00B931F9" w:rsidP="0032092C">
      <w:pPr>
        <w:keepNext/>
        <w:keepLines/>
        <w:spacing w:before="40" w:after="0"/>
        <w:outlineLvl w:val="4"/>
        <w:rPr>
          <w:rFonts w:eastAsiaTheme="majorEastAsia" w:cstheme="majorBidi"/>
          <w:b/>
          <w:color w:val="auto"/>
        </w:rPr>
      </w:pPr>
      <w:r w:rsidRPr="00ED571D">
        <w:rPr>
          <w:rFonts w:eastAsiaTheme="majorEastAsia" w:cstheme="majorBidi"/>
          <w:b/>
          <w:color w:val="auto"/>
        </w:rPr>
        <w:lastRenderedPageBreak/>
        <w:t>List of Background Papers</w:t>
      </w:r>
    </w:p>
    <w:p w14:paraId="4E21D1BD" w14:textId="77777777" w:rsidR="0032092C" w:rsidRPr="00ED571D" w:rsidRDefault="00DD2FC6" w:rsidP="0032092C"/>
    <w:tbl>
      <w:tblPr>
        <w:tblW w:w="0" w:type="auto"/>
        <w:tblLayout w:type="fixed"/>
        <w:tblLook w:val="0000" w:firstRow="0" w:lastRow="0" w:firstColumn="0" w:lastColumn="0" w:noHBand="0" w:noVBand="0"/>
      </w:tblPr>
      <w:tblGrid>
        <w:gridCol w:w="3510"/>
        <w:gridCol w:w="2492"/>
        <w:gridCol w:w="3178"/>
      </w:tblGrid>
      <w:tr w:rsidR="003D7511" w14:paraId="0DDAA66C" w14:textId="77777777" w:rsidTr="00331DDF">
        <w:tc>
          <w:tcPr>
            <w:tcW w:w="3510" w:type="dxa"/>
          </w:tcPr>
          <w:p w14:paraId="02782CD6" w14:textId="77777777" w:rsidR="0032092C" w:rsidRPr="00ED571D" w:rsidRDefault="00B931F9"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575CB3CE" w14:textId="77777777" w:rsidR="0032092C" w:rsidRPr="00ED571D" w:rsidRDefault="00B931F9"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1A6ACA2B" w14:textId="77777777" w:rsidR="0032092C" w:rsidRPr="00ED571D" w:rsidRDefault="00B931F9"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3D7511" w14:paraId="27CD4A40" w14:textId="77777777" w:rsidTr="00331DDF">
        <w:tc>
          <w:tcPr>
            <w:tcW w:w="3510" w:type="dxa"/>
          </w:tcPr>
          <w:p w14:paraId="182F25B3" w14:textId="77777777" w:rsidR="0032092C" w:rsidRPr="00ED571D" w:rsidRDefault="00DD2FC6" w:rsidP="00331DDF">
            <w:pPr>
              <w:rPr>
                <w:color w:val="auto"/>
              </w:rPr>
            </w:pPr>
          </w:p>
          <w:p w14:paraId="63C5FACC" w14:textId="77777777" w:rsidR="0032092C" w:rsidRPr="00ED571D" w:rsidRDefault="00B931F9" w:rsidP="00331DDF">
            <w:pPr>
              <w:rPr>
                <w:color w:val="auto"/>
              </w:rPr>
            </w:pPr>
            <w:r>
              <w:rPr>
                <w:color w:val="auto"/>
              </w:rPr>
              <w:t>None</w:t>
            </w:r>
          </w:p>
          <w:p w14:paraId="3D335BD8" w14:textId="77777777" w:rsidR="0032092C" w:rsidRPr="00ED571D" w:rsidRDefault="00DD2FC6" w:rsidP="00331DDF">
            <w:pPr>
              <w:rPr>
                <w:color w:val="auto"/>
              </w:rPr>
            </w:pPr>
          </w:p>
        </w:tc>
        <w:tc>
          <w:tcPr>
            <w:tcW w:w="2492" w:type="dxa"/>
          </w:tcPr>
          <w:p w14:paraId="76575158" w14:textId="77777777" w:rsidR="0032092C" w:rsidRPr="00ED571D" w:rsidRDefault="00DD2FC6" w:rsidP="00331DDF">
            <w:pPr>
              <w:rPr>
                <w:color w:val="auto"/>
              </w:rPr>
            </w:pPr>
          </w:p>
        </w:tc>
        <w:tc>
          <w:tcPr>
            <w:tcW w:w="3178" w:type="dxa"/>
          </w:tcPr>
          <w:p w14:paraId="0ED8A20B" w14:textId="77777777" w:rsidR="0032092C" w:rsidRPr="00ED571D" w:rsidRDefault="00DD2FC6" w:rsidP="00331DDF">
            <w:pPr>
              <w:rPr>
                <w:color w:val="auto"/>
              </w:rPr>
            </w:pPr>
          </w:p>
        </w:tc>
      </w:tr>
      <w:tr w:rsidR="003D7511" w14:paraId="1B336DE4" w14:textId="77777777" w:rsidTr="00331DDF">
        <w:trPr>
          <w:cantSplit/>
        </w:trPr>
        <w:tc>
          <w:tcPr>
            <w:tcW w:w="9180" w:type="dxa"/>
            <w:gridSpan w:val="3"/>
          </w:tcPr>
          <w:p w14:paraId="09A65351" w14:textId="77777777" w:rsidR="0032092C" w:rsidRPr="00ED571D" w:rsidRDefault="00DD2FC6" w:rsidP="00331DDF"/>
          <w:p w14:paraId="4CD70AA4" w14:textId="77777777" w:rsidR="0032092C" w:rsidRPr="00ED571D" w:rsidRDefault="00B931F9" w:rsidP="00331DDF">
            <w:r w:rsidRPr="00ED571D">
              <w:t xml:space="preserve">Reason for inclusion in Part II, if appropriate </w:t>
            </w:r>
          </w:p>
          <w:p w14:paraId="70C0029A" w14:textId="77777777" w:rsidR="0032092C" w:rsidRPr="00ED571D" w:rsidRDefault="00DD2FC6" w:rsidP="00331DDF"/>
          <w:p w14:paraId="1130C3A9" w14:textId="77777777" w:rsidR="0032092C" w:rsidRPr="00ED571D" w:rsidRDefault="00B931F9" w:rsidP="00331DDF">
            <w:pPr>
              <w:rPr>
                <w:color w:val="auto"/>
              </w:rPr>
            </w:pPr>
            <w:r>
              <w:rPr>
                <w:color w:val="auto"/>
              </w:rPr>
              <w:t>N/A</w:t>
            </w:r>
          </w:p>
          <w:p w14:paraId="16CEEBA9" w14:textId="77777777" w:rsidR="0032092C" w:rsidRPr="00ED571D" w:rsidRDefault="00DD2FC6" w:rsidP="00331DDF">
            <w:pPr>
              <w:jc w:val="both"/>
            </w:pPr>
          </w:p>
        </w:tc>
      </w:tr>
    </w:tbl>
    <w:p w14:paraId="1F0B7FD9" w14:textId="77777777" w:rsidR="0032092C" w:rsidRDefault="00DD2FC6" w:rsidP="00A3358A">
      <w:pPr>
        <w:ind w:left="0" w:firstLine="0"/>
      </w:pPr>
    </w:p>
    <w:p w14:paraId="17346E44" w14:textId="77777777" w:rsidR="00386D34" w:rsidRDefault="00DD2FC6"/>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3B37" w14:textId="77777777" w:rsidR="000D086A" w:rsidRDefault="00B931F9">
      <w:pPr>
        <w:spacing w:after="0" w:line="240" w:lineRule="auto"/>
      </w:pPr>
      <w:r>
        <w:separator/>
      </w:r>
    </w:p>
  </w:endnote>
  <w:endnote w:type="continuationSeparator" w:id="0">
    <w:p w14:paraId="664018F4" w14:textId="77777777" w:rsidR="000D086A" w:rsidRDefault="00B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6F194" w14:textId="77777777" w:rsidR="000D086A" w:rsidRDefault="00B931F9">
      <w:pPr>
        <w:spacing w:after="0" w:line="240" w:lineRule="auto"/>
      </w:pPr>
      <w:r>
        <w:separator/>
      </w:r>
    </w:p>
  </w:footnote>
  <w:footnote w:type="continuationSeparator" w:id="0">
    <w:p w14:paraId="6450D150" w14:textId="77777777" w:rsidR="000D086A" w:rsidRDefault="00B9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31D0" w14:textId="77777777" w:rsidR="00CF1133" w:rsidRDefault="00B931F9">
    <w:pPr>
      <w:pStyle w:val="Header"/>
    </w:pPr>
    <w:r>
      <w:rPr>
        <w:noProof/>
      </w:rPr>
      <w:drawing>
        <wp:anchor distT="0" distB="0" distL="114300" distR="114300" simplePos="0" relativeHeight="251658240" behindDoc="0" locked="0" layoutInCell="1" allowOverlap="1" wp14:anchorId="6AE02A27" wp14:editId="34BDF82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248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A2D"/>
    <w:multiLevelType w:val="hybridMultilevel"/>
    <w:tmpl w:val="270698F2"/>
    <w:lvl w:ilvl="0" w:tplc="646038A8">
      <w:start w:val="1"/>
      <w:numFmt w:val="bullet"/>
      <w:lvlText w:val=""/>
      <w:lvlJc w:val="left"/>
      <w:pPr>
        <w:ind w:left="720" w:hanging="360"/>
      </w:pPr>
      <w:rPr>
        <w:rFonts w:ascii="Symbol" w:hAnsi="Symbol" w:hint="default"/>
      </w:rPr>
    </w:lvl>
    <w:lvl w:ilvl="1" w:tplc="CCA44F56" w:tentative="1">
      <w:start w:val="1"/>
      <w:numFmt w:val="bullet"/>
      <w:lvlText w:val="o"/>
      <w:lvlJc w:val="left"/>
      <w:pPr>
        <w:ind w:left="1440" w:hanging="360"/>
      </w:pPr>
      <w:rPr>
        <w:rFonts w:ascii="Courier New" w:hAnsi="Courier New" w:cs="Courier New" w:hint="default"/>
      </w:rPr>
    </w:lvl>
    <w:lvl w:ilvl="2" w:tplc="2E944D10" w:tentative="1">
      <w:start w:val="1"/>
      <w:numFmt w:val="bullet"/>
      <w:lvlText w:val=""/>
      <w:lvlJc w:val="left"/>
      <w:pPr>
        <w:ind w:left="2160" w:hanging="360"/>
      </w:pPr>
      <w:rPr>
        <w:rFonts w:ascii="Wingdings" w:hAnsi="Wingdings" w:hint="default"/>
      </w:rPr>
    </w:lvl>
    <w:lvl w:ilvl="3" w:tplc="BECC48D4" w:tentative="1">
      <w:start w:val="1"/>
      <w:numFmt w:val="bullet"/>
      <w:lvlText w:val=""/>
      <w:lvlJc w:val="left"/>
      <w:pPr>
        <w:ind w:left="2880" w:hanging="360"/>
      </w:pPr>
      <w:rPr>
        <w:rFonts w:ascii="Symbol" w:hAnsi="Symbol" w:hint="default"/>
      </w:rPr>
    </w:lvl>
    <w:lvl w:ilvl="4" w:tplc="39A4B708" w:tentative="1">
      <w:start w:val="1"/>
      <w:numFmt w:val="bullet"/>
      <w:lvlText w:val="o"/>
      <w:lvlJc w:val="left"/>
      <w:pPr>
        <w:ind w:left="3600" w:hanging="360"/>
      </w:pPr>
      <w:rPr>
        <w:rFonts w:ascii="Courier New" w:hAnsi="Courier New" w:cs="Courier New" w:hint="default"/>
      </w:rPr>
    </w:lvl>
    <w:lvl w:ilvl="5" w:tplc="5AF6221E" w:tentative="1">
      <w:start w:val="1"/>
      <w:numFmt w:val="bullet"/>
      <w:lvlText w:val=""/>
      <w:lvlJc w:val="left"/>
      <w:pPr>
        <w:ind w:left="4320" w:hanging="360"/>
      </w:pPr>
      <w:rPr>
        <w:rFonts w:ascii="Wingdings" w:hAnsi="Wingdings" w:hint="default"/>
      </w:rPr>
    </w:lvl>
    <w:lvl w:ilvl="6" w:tplc="3732E930" w:tentative="1">
      <w:start w:val="1"/>
      <w:numFmt w:val="bullet"/>
      <w:lvlText w:val=""/>
      <w:lvlJc w:val="left"/>
      <w:pPr>
        <w:ind w:left="5040" w:hanging="360"/>
      </w:pPr>
      <w:rPr>
        <w:rFonts w:ascii="Symbol" w:hAnsi="Symbol" w:hint="default"/>
      </w:rPr>
    </w:lvl>
    <w:lvl w:ilvl="7" w:tplc="97B0D6F0" w:tentative="1">
      <w:start w:val="1"/>
      <w:numFmt w:val="bullet"/>
      <w:lvlText w:val="o"/>
      <w:lvlJc w:val="left"/>
      <w:pPr>
        <w:ind w:left="5760" w:hanging="360"/>
      </w:pPr>
      <w:rPr>
        <w:rFonts w:ascii="Courier New" w:hAnsi="Courier New" w:cs="Courier New" w:hint="default"/>
      </w:rPr>
    </w:lvl>
    <w:lvl w:ilvl="8" w:tplc="4114FAB8" w:tentative="1">
      <w:start w:val="1"/>
      <w:numFmt w:val="bullet"/>
      <w:lvlText w:val=""/>
      <w:lvlJc w:val="left"/>
      <w:pPr>
        <w:ind w:left="6480" w:hanging="360"/>
      </w:pPr>
      <w:rPr>
        <w:rFonts w:ascii="Wingdings" w:hAnsi="Wingdings" w:hint="default"/>
      </w:rPr>
    </w:lvl>
  </w:abstractNum>
  <w:abstractNum w:abstractNumId="1" w15:restartNumberingAfterBreak="0">
    <w:nsid w:val="0E9B14F8"/>
    <w:multiLevelType w:val="hybridMultilevel"/>
    <w:tmpl w:val="4CBC2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3303C0B"/>
    <w:multiLevelType w:val="hybridMultilevel"/>
    <w:tmpl w:val="52A279AC"/>
    <w:lvl w:ilvl="0" w:tplc="4A642B12">
      <w:start w:val="1"/>
      <w:numFmt w:val="decimal"/>
      <w:lvlText w:val="%1)"/>
      <w:lvlJc w:val="left"/>
      <w:pPr>
        <w:ind w:left="720" w:hanging="360"/>
      </w:pPr>
    </w:lvl>
    <w:lvl w:ilvl="1" w:tplc="9B989776" w:tentative="1">
      <w:start w:val="1"/>
      <w:numFmt w:val="lowerLetter"/>
      <w:lvlText w:val="%2."/>
      <w:lvlJc w:val="left"/>
      <w:pPr>
        <w:ind w:left="1440" w:hanging="360"/>
      </w:pPr>
    </w:lvl>
    <w:lvl w:ilvl="2" w:tplc="14C652B0" w:tentative="1">
      <w:start w:val="1"/>
      <w:numFmt w:val="lowerRoman"/>
      <w:lvlText w:val="%3."/>
      <w:lvlJc w:val="right"/>
      <w:pPr>
        <w:ind w:left="2160" w:hanging="180"/>
      </w:pPr>
    </w:lvl>
    <w:lvl w:ilvl="3" w:tplc="B0E6FDE6" w:tentative="1">
      <w:start w:val="1"/>
      <w:numFmt w:val="decimal"/>
      <w:lvlText w:val="%4."/>
      <w:lvlJc w:val="left"/>
      <w:pPr>
        <w:ind w:left="2880" w:hanging="360"/>
      </w:pPr>
    </w:lvl>
    <w:lvl w:ilvl="4" w:tplc="F82C7686" w:tentative="1">
      <w:start w:val="1"/>
      <w:numFmt w:val="lowerLetter"/>
      <w:lvlText w:val="%5."/>
      <w:lvlJc w:val="left"/>
      <w:pPr>
        <w:ind w:left="3600" w:hanging="360"/>
      </w:pPr>
    </w:lvl>
    <w:lvl w:ilvl="5" w:tplc="7E5E5DEC" w:tentative="1">
      <w:start w:val="1"/>
      <w:numFmt w:val="lowerRoman"/>
      <w:lvlText w:val="%6."/>
      <w:lvlJc w:val="right"/>
      <w:pPr>
        <w:ind w:left="4320" w:hanging="180"/>
      </w:pPr>
    </w:lvl>
    <w:lvl w:ilvl="6" w:tplc="8D4E782E" w:tentative="1">
      <w:start w:val="1"/>
      <w:numFmt w:val="decimal"/>
      <w:lvlText w:val="%7."/>
      <w:lvlJc w:val="left"/>
      <w:pPr>
        <w:ind w:left="5040" w:hanging="360"/>
      </w:pPr>
    </w:lvl>
    <w:lvl w:ilvl="7" w:tplc="15E65C50" w:tentative="1">
      <w:start w:val="1"/>
      <w:numFmt w:val="lowerLetter"/>
      <w:lvlText w:val="%8."/>
      <w:lvlJc w:val="left"/>
      <w:pPr>
        <w:ind w:left="5760" w:hanging="360"/>
      </w:pPr>
    </w:lvl>
    <w:lvl w:ilvl="8" w:tplc="EC6A1E46" w:tentative="1">
      <w:start w:val="1"/>
      <w:numFmt w:val="lowerRoman"/>
      <w:lvlText w:val="%9."/>
      <w:lvlJc w:val="right"/>
      <w:pPr>
        <w:ind w:left="6480" w:hanging="180"/>
      </w:pPr>
    </w:lvl>
  </w:abstractNum>
  <w:abstractNum w:abstractNumId="4" w15:restartNumberingAfterBreak="0">
    <w:nsid w:val="21DE024E"/>
    <w:multiLevelType w:val="hybridMultilevel"/>
    <w:tmpl w:val="247C0F4A"/>
    <w:lvl w:ilvl="0" w:tplc="2E8AB846">
      <w:start w:val="1"/>
      <w:numFmt w:val="decimal"/>
      <w:lvlText w:val="%1."/>
      <w:lvlJc w:val="left"/>
      <w:pPr>
        <w:ind w:left="720" w:hanging="360"/>
      </w:pPr>
    </w:lvl>
    <w:lvl w:ilvl="1" w:tplc="D48A2CC6" w:tentative="1">
      <w:start w:val="1"/>
      <w:numFmt w:val="lowerLetter"/>
      <w:lvlText w:val="%2."/>
      <w:lvlJc w:val="left"/>
      <w:pPr>
        <w:ind w:left="1440" w:hanging="360"/>
      </w:pPr>
    </w:lvl>
    <w:lvl w:ilvl="2" w:tplc="35DA50BC" w:tentative="1">
      <w:start w:val="1"/>
      <w:numFmt w:val="lowerRoman"/>
      <w:lvlText w:val="%3."/>
      <w:lvlJc w:val="right"/>
      <w:pPr>
        <w:ind w:left="2160" w:hanging="180"/>
      </w:pPr>
    </w:lvl>
    <w:lvl w:ilvl="3" w:tplc="B7CE0B7A" w:tentative="1">
      <w:start w:val="1"/>
      <w:numFmt w:val="decimal"/>
      <w:lvlText w:val="%4."/>
      <w:lvlJc w:val="left"/>
      <w:pPr>
        <w:ind w:left="2880" w:hanging="360"/>
      </w:pPr>
    </w:lvl>
    <w:lvl w:ilvl="4" w:tplc="846EEC58" w:tentative="1">
      <w:start w:val="1"/>
      <w:numFmt w:val="lowerLetter"/>
      <w:lvlText w:val="%5."/>
      <w:lvlJc w:val="left"/>
      <w:pPr>
        <w:ind w:left="3600" w:hanging="360"/>
      </w:pPr>
    </w:lvl>
    <w:lvl w:ilvl="5" w:tplc="9A0C5334" w:tentative="1">
      <w:start w:val="1"/>
      <w:numFmt w:val="lowerRoman"/>
      <w:lvlText w:val="%6."/>
      <w:lvlJc w:val="right"/>
      <w:pPr>
        <w:ind w:left="4320" w:hanging="180"/>
      </w:pPr>
    </w:lvl>
    <w:lvl w:ilvl="6" w:tplc="6ADE46A4" w:tentative="1">
      <w:start w:val="1"/>
      <w:numFmt w:val="decimal"/>
      <w:lvlText w:val="%7."/>
      <w:lvlJc w:val="left"/>
      <w:pPr>
        <w:ind w:left="5040" w:hanging="360"/>
      </w:pPr>
    </w:lvl>
    <w:lvl w:ilvl="7" w:tplc="88AA6A82" w:tentative="1">
      <w:start w:val="1"/>
      <w:numFmt w:val="lowerLetter"/>
      <w:lvlText w:val="%8."/>
      <w:lvlJc w:val="left"/>
      <w:pPr>
        <w:ind w:left="5760" w:hanging="360"/>
      </w:pPr>
    </w:lvl>
    <w:lvl w:ilvl="8" w:tplc="56B4BB2A" w:tentative="1">
      <w:start w:val="1"/>
      <w:numFmt w:val="lowerRoman"/>
      <w:lvlText w:val="%9."/>
      <w:lvlJc w:val="right"/>
      <w:pPr>
        <w:ind w:left="6480" w:hanging="180"/>
      </w:pPr>
    </w:lvl>
  </w:abstractNum>
  <w:abstractNum w:abstractNumId="5" w15:restartNumberingAfterBreak="0">
    <w:nsid w:val="2D2473D4"/>
    <w:multiLevelType w:val="hybridMultilevel"/>
    <w:tmpl w:val="0BBA2C0C"/>
    <w:lvl w:ilvl="0" w:tplc="767847F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478377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3E8F7E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72C754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3724FA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6BE92B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F426B0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9B0BF4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2DCAFF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D95451E"/>
    <w:multiLevelType w:val="hybridMultilevel"/>
    <w:tmpl w:val="B066B6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11"/>
    <w:rsid w:val="000D086A"/>
    <w:rsid w:val="002E73D5"/>
    <w:rsid w:val="003D7511"/>
    <w:rsid w:val="0083747F"/>
    <w:rsid w:val="00B931F9"/>
    <w:rsid w:val="00DD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1C2C"/>
  <w15:docId w15:val="{111CDF45-08B6-4240-AED4-5B9AE5D2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F6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231"/>
    <w:rPr>
      <w:sz w:val="16"/>
      <w:szCs w:val="16"/>
    </w:rPr>
  </w:style>
  <w:style w:type="paragraph" w:styleId="CommentText">
    <w:name w:val="annotation text"/>
    <w:basedOn w:val="Normal"/>
    <w:link w:val="CommentTextChar"/>
    <w:uiPriority w:val="99"/>
    <w:semiHidden/>
    <w:unhideWhenUsed/>
    <w:rsid w:val="00C33231"/>
    <w:pPr>
      <w:spacing w:line="240" w:lineRule="auto"/>
    </w:pPr>
    <w:rPr>
      <w:sz w:val="20"/>
      <w:szCs w:val="20"/>
    </w:rPr>
  </w:style>
  <w:style w:type="character" w:customStyle="1" w:styleId="CommentTextChar">
    <w:name w:val="Comment Text Char"/>
    <w:basedOn w:val="DefaultParagraphFont"/>
    <w:link w:val="CommentText"/>
    <w:uiPriority w:val="99"/>
    <w:semiHidden/>
    <w:rsid w:val="00C33231"/>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33231"/>
    <w:rPr>
      <w:b/>
      <w:bCs/>
    </w:rPr>
  </w:style>
  <w:style w:type="character" w:customStyle="1" w:styleId="CommentSubjectChar">
    <w:name w:val="Comment Subject Char"/>
    <w:basedOn w:val="CommentTextChar"/>
    <w:link w:val="CommentSubject"/>
    <w:uiPriority w:val="99"/>
    <w:semiHidden/>
    <w:rsid w:val="00C33231"/>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C33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3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BBAA-AC1E-400A-BFA0-AC6E9AC5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24</cp:revision>
  <dcterms:created xsi:type="dcterms:W3CDTF">2015-06-25T10:41:00Z</dcterms:created>
  <dcterms:modified xsi:type="dcterms:W3CDTF">2020-01-20T15:10:00Z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South East Blackburn Funding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Thursday, 30 January 2020</vt:lpwstr>
  </property>
</Properties>
</file>